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b/>
          <w:bCs/>
          <w:sz w:val="32"/>
          <w:szCs w:val="32"/>
          <w:u w:val="single"/>
        </w:rPr>
      </w:pPr>
      <w:bookmarkStart w:id="0" w:name="_Toc28359011"/>
      <w:bookmarkStart w:id="1" w:name="_Toc35393797"/>
    </w:p>
    <w:p>
      <w:pPr>
        <w:spacing w:line="360" w:lineRule="auto"/>
        <w:jc w:val="center"/>
        <w:rPr>
          <w:rFonts w:ascii="宋体" w:hAnsi="宋体"/>
          <w:b/>
          <w:bCs/>
          <w:sz w:val="32"/>
          <w:szCs w:val="32"/>
          <w:u w:val="single"/>
        </w:rPr>
      </w:pPr>
    </w:p>
    <w:p>
      <w:pPr>
        <w:spacing w:line="360" w:lineRule="auto"/>
        <w:jc w:val="center"/>
        <w:outlineLvl w:val="0"/>
        <w:rPr>
          <w:rStyle w:val="24"/>
          <w:rFonts w:ascii="宋体" w:hAnsi="宋体"/>
          <w:b/>
          <w:bCs/>
          <w:sz w:val="32"/>
          <w:szCs w:val="32"/>
        </w:rPr>
      </w:pPr>
      <w:bookmarkStart w:id="2" w:name="_Toc27521"/>
      <w:bookmarkStart w:id="3" w:name="_Toc24746"/>
      <w:bookmarkStart w:id="4" w:name="_Toc5725"/>
      <w:r>
        <w:rPr>
          <w:rFonts w:hint="eastAsia" w:ascii="宋体" w:hAnsi="宋体" w:eastAsia="宋体" w:cs="Times New Roman"/>
          <w:b/>
          <w:bCs/>
          <w:snapToGrid w:val="0"/>
          <w:color w:val="000000"/>
          <w:kern w:val="0"/>
          <w:sz w:val="44"/>
          <w:szCs w:val="44"/>
          <w:lang w:eastAsia="zh-CN"/>
        </w:rPr>
        <w:t>光武综治中心信息化设备采购</w:t>
      </w:r>
      <w:bookmarkEnd w:id="2"/>
      <w:bookmarkEnd w:id="3"/>
      <w:bookmarkEnd w:id="4"/>
    </w:p>
    <w:p>
      <w:pPr>
        <w:spacing w:line="360" w:lineRule="auto"/>
        <w:jc w:val="center"/>
        <w:rPr>
          <w:rFonts w:ascii="宋体" w:hAnsi="宋体"/>
          <w:b/>
          <w:sz w:val="32"/>
          <w:szCs w:val="32"/>
        </w:rPr>
      </w:pPr>
    </w:p>
    <w:p>
      <w:pPr>
        <w:pStyle w:val="2"/>
        <w:rPr>
          <w:rFonts w:ascii="宋体" w:hAnsi="宋体"/>
          <w:b/>
          <w:sz w:val="32"/>
          <w:szCs w:val="32"/>
        </w:rPr>
      </w:pPr>
    </w:p>
    <w:p/>
    <w:p>
      <w:pPr>
        <w:widowControl/>
        <w:kinsoku w:val="0"/>
        <w:autoSpaceDE w:val="0"/>
        <w:autoSpaceDN w:val="0"/>
        <w:adjustRightInd w:val="0"/>
        <w:snapToGrid w:val="0"/>
        <w:jc w:val="center"/>
        <w:textAlignment w:val="baseline"/>
        <w:outlineLvl w:val="0"/>
        <w:rPr>
          <w:rFonts w:hint="eastAsia" w:ascii="宋体" w:hAnsi="宋体" w:eastAsia="宋体" w:cs="Times New Roman"/>
          <w:b/>
          <w:bCs/>
          <w:snapToGrid w:val="0"/>
          <w:color w:val="000000"/>
          <w:kern w:val="0"/>
          <w:sz w:val="48"/>
          <w:szCs w:val="48"/>
        </w:rPr>
      </w:pPr>
      <w:bookmarkStart w:id="5" w:name="_Toc17535"/>
      <w:bookmarkStart w:id="6" w:name="_Toc25045"/>
      <w:bookmarkStart w:id="7" w:name="_Toc14450"/>
      <w:r>
        <w:rPr>
          <w:rFonts w:hint="eastAsia" w:ascii="宋体" w:hAnsi="宋体" w:eastAsia="宋体" w:cs="Times New Roman"/>
          <w:b/>
          <w:bCs/>
          <w:snapToGrid w:val="0"/>
          <w:color w:val="000000"/>
          <w:kern w:val="0"/>
          <w:sz w:val="48"/>
          <w:szCs w:val="48"/>
        </w:rPr>
        <w:t>竞争性磋商文件</w:t>
      </w:r>
      <w:bookmarkEnd w:id="5"/>
      <w:bookmarkEnd w:id="6"/>
      <w:bookmarkEnd w:id="7"/>
    </w:p>
    <w:p>
      <w:pPr>
        <w:jc w:val="center"/>
        <w:rPr>
          <w:rFonts w:ascii="宋体" w:hAnsi="宋体"/>
          <w:b/>
          <w:sz w:val="32"/>
          <w:szCs w:val="32"/>
        </w:rPr>
      </w:pPr>
    </w:p>
    <w:p>
      <w:pPr>
        <w:ind w:firstLine="2718" w:firstLineChars="846"/>
        <w:rPr>
          <w:rFonts w:ascii="宋体" w:hAnsi="宋体"/>
          <w:b/>
          <w:sz w:val="32"/>
          <w:szCs w:val="32"/>
        </w:rPr>
      </w:pPr>
    </w:p>
    <w:p>
      <w:pPr>
        <w:ind w:firstLine="2718" w:firstLineChars="846"/>
        <w:outlineLvl w:val="0"/>
        <w:rPr>
          <w:rFonts w:hint="eastAsia" w:ascii="宋体" w:hAnsi="宋体" w:eastAsia="宋体"/>
          <w:sz w:val="32"/>
          <w:szCs w:val="32"/>
          <w:lang w:eastAsia="zh-CN"/>
        </w:rPr>
      </w:pPr>
      <w:bookmarkStart w:id="8" w:name="_Toc5384"/>
      <w:bookmarkStart w:id="9" w:name="_Toc11658"/>
      <w:bookmarkStart w:id="10" w:name="_Toc12416"/>
      <w:r>
        <w:rPr>
          <w:rFonts w:hint="eastAsia" w:ascii="宋体" w:hAnsi="宋体"/>
          <w:b/>
          <w:sz w:val="32"/>
          <w:szCs w:val="32"/>
        </w:rPr>
        <w:t>项目编号：341282100j20240</w:t>
      </w:r>
      <w:r>
        <w:rPr>
          <w:rFonts w:hint="eastAsia" w:ascii="宋体" w:hAnsi="宋体"/>
          <w:b/>
          <w:sz w:val="32"/>
          <w:szCs w:val="32"/>
          <w:lang w:val="en-US" w:eastAsia="zh-CN"/>
        </w:rPr>
        <w:t>7</w:t>
      </w:r>
      <w:r>
        <w:rPr>
          <w:rFonts w:hint="eastAsia" w:ascii="宋体" w:hAnsi="宋体"/>
          <w:b/>
          <w:sz w:val="32"/>
          <w:szCs w:val="32"/>
        </w:rPr>
        <w:t>0</w:t>
      </w:r>
      <w:r>
        <w:rPr>
          <w:rFonts w:hint="eastAsia" w:ascii="宋体" w:hAnsi="宋体"/>
          <w:b/>
          <w:sz w:val="32"/>
          <w:szCs w:val="32"/>
          <w:lang w:val="en-US" w:eastAsia="zh-CN"/>
        </w:rPr>
        <w:t>1</w:t>
      </w:r>
      <w:bookmarkEnd w:id="8"/>
      <w:bookmarkEnd w:id="9"/>
      <w:bookmarkEnd w:id="10"/>
    </w:p>
    <w:p>
      <w:pPr>
        <w:rPr>
          <w:rFonts w:ascii="宋体" w:hAnsi="宋体"/>
          <w:sz w:val="32"/>
          <w:szCs w:val="32"/>
        </w:rPr>
      </w:pPr>
    </w:p>
    <w:p>
      <w:pPr>
        <w:pStyle w:val="2"/>
        <w:rPr>
          <w:rFonts w:ascii="宋体" w:hAnsi="宋体"/>
          <w:sz w:val="32"/>
          <w:szCs w:val="32"/>
        </w:rPr>
      </w:pPr>
    </w:p>
    <w:p>
      <w:pPr>
        <w:rPr>
          <w:rFonts w:ascii="宋体" w:hAnsi="宋体"/>
          <w:sz w:val="32"/>
          <w:szCs w:val="32"/>
        </w:rPr>
      </w:pPr>
    </w:p>
    <w:p>
      <w:pPr>
        <w:pStyle w:val="2"/>
      </w:pPr>
    </w:p>
    <w:p>
      <w:pPr>
        <w:rPr>
          <w:rFonts w:ascii="宋体" w:hAnsi="宋体"/>
          <w:sz w:val="32"/>
          <w:szCs w:val="32"/>
        </w:rPr>
      </w:pPr>
    </w:p>
    <w:p>
      <w:pPr>
        <w:rPr>
          <w:rFonts w:ascii="宋体" w:hAnsi="宋体"/>
          <w:sz w:val="32"/>
          <w:szCs w:val="32"/>
        </w:rPr>
      </w:pPr>
    </w:p>
    <w:p>
      <w:pPr>
        <w:rPr>
          <w:rFonts w:ascii="宋体" w:hAnsi="宋体"/>
          <w:sz w:val="32"/>
          <w:szCs w:val="32"/>
        </w:rPr>
      </w:pPr>
      <w:r>
        <w:rPr>
          <w:rFonts w:hint="eastAsia" w:ascii="宋体" w:hAnsi="宋体"/>
          <w:b/>
          <w:sz w:val="32"/>
          <w:szCs w:val="32"/>
        </w:rPr>
        <w:t xml:space="preserve">      </w:t>
      </w:r>
      <w:r>
        <w:rPr>
          <w:rFonts w:hint="eastAsia" w:ascii="宋体" w:hAnsi="宋体"/>
          <w:b/>
          <w:sz w:val="32"/>
          <w:szCs w:val="32"/>
          <w:lang w:val="en-US" w:eastAsia="zh-CN"/>
        </w:rPr>
        <w:t xml:space="preserve">  </w:t>
      </w:r>
      <w:r>
        <w:rPr>
          <w:rFonts w:hint="eastAsia" w:ascii="宋体" w:hAnsi="宋体"/>
          <w:b/>
          <w:spacing w:val="11"/>
          <w:kern w:val="0"/>
          <w:sz w:val="32"/>
          <w:szCs w:val="32"/>
          <w:fitText w:val="1920" w:id="1627088001"/>
        </w:rPr>
        <w:t xml:space="preserve">采   购  </w:t>
      </w:r>
      <w:r>
        <w:rPr>
          <w:rFonts w:hint="eastAsia" w:ascii="宋体" w:hAnsi="宋体"/>
          <w:b/>
          <w:spacing w:val="3"/>
          <w:kern w:val="0"/>
          <w:sz w:val="32"/>
          <w:szCs w:val="32"/>
          <w:fitText w:val="1920" w:id="1627088001"/>
        </w:rPr>
        <w:t>人</w:t>
      </w:r>
      <w:r>
        <w:rPr>
          <w:rFonts w:hint="eastAsia" w:ascii="宋体" w:hAnsi="宋体"/>
          <w:b/>
          <w:sz w:val="32"/>
          <w:szCs w:val="32"/>
        </w:rPr>
        <w:t>：</w:t>
      </w:r>
      <w:r>
        <w:rPr>
          <w:rFonts w:hint="eastAsia" w:ascii="宋体" w:hAnsi="宋体"/>
          <w:b/>
          <w:sz w:val="32"/>
          <w:szCs w:val="32"/>
          <w:u w:val="single"/>
          <w:lang w:val="en-US" w:eastAsia="zh-CN"/>
        </w:rPr>
        <w:t>界首市光武镇人民政府</w:t>
      </w:r>
      <w:r>
        <w:rPr>
          <w:rFonts w:hint="eastAsia" w:ascii="宋体" w:hAnsi="宋体"/>
          <w:b/>
          <w:sz w:val="32"/>
          <w:szCs w:val="32"/>
        </w:rPr>
        <w:t>（单位盖章）</w:t>
      </w:r>
    </w:p>
    <w:p>
      <w:pPr>
        <w:spacing w:line="440" w:lineRule="exact"/>
        <w:ind w:right="42" w:rightChars="20"/>
        <w:rPr>
          <w:rFonts w:ascii="宋体" w:hAnsi="宋体" w:cs="Arial"/>
          <w:b/>
          <w:sz w:val="32"/>
          <w:szCs w:val="32"/>
        </w:rPr>
      </w:pPr>
    </w:p>
    <w:p>
      <w:pPr>
        <w:ind w:firstLine="1285" w:firstLineChars="400"/>
        <w:rPr>
          <w:rFonts w:hint="eastAsia" w:ascii="宋体" w:hAnsi="宋体" w:eastAsia="宋体"/>
          <w:b/>
          <w:sz w:val="32"/>
          <w:szCs w:val="32"/>
          <w:u w:val="single"/>
          <w:lang w:val="en-US" w:eastAsia="zh-CN"/>
        </w:rPr>
      </w:pPr>
      <w:r>
        <w:rPr>
          <w:rFonts w:hint="eastAsia" w:ascii="宋体" w:hAnsi="宋体" w:eastAsia="宋体"/>
          <w:b/>
          <w:sz w:val="32"/>
          <w:szCs w:val="32"/>
          <w:u w:val="none"/>
          <w:lang w:val="en-US" w:eastAsia="zh-CN"/>
        </w:rPr>
        <w:t>采购代理机构：</w:t>
      </w:r>
      <w:r>
        <w:rPr>
          <w:rFonts w:hint="eastAsia" w:ascii="宋体" w:hAnsi="宋体" w:eastAsia="宋体"/>
          <w:b/>
          <w:sz w:val="32"/>
          <w:szCs w:val="32"/>
          <w:u w:val="single"/>
          <w:lang w:val="en-US" w:eastAsia="zh-CN"/>
        </w:rPr>
        <w:t>安徽龙方工程咨询有限公司</w:t>
      </w:r>
    </w:p>
    <w:p>
      <w:pPr>
        <w:rPr>
          <w:rFonts w:ascii="宋体" w:hAnsi="宋体"/>
          <w:b/>
          <w:sz w:val="32"/>
          <w:szCs w:val="32"/>
        </w:rPr>
      </w:pPr>
    </w:p>
    <w:p>
      <w:pPr>
        <w:rPr>
          <w:rFonts w:ascii="宋体" w:hAnsi="宋体"/>
          <w:b/>
          <w:sz w:val="32"/>
          <w:szCs w:val="32"/>
        </w:rPr>
      </w:pPr>
    </w:p>
    <w:p>
      <w:pPr>
        <w:rPr>
          <w:rFonts w:ascii="宋体" w:hAnsi="宋体"/>
          <w:b/>
          <w:sz w:val="32"/>
          <w:szCs w:val="32"/>
          <w:u w:val="single"/>
        </w:rPr>
      </w:pPr>
    </w:p>
    <w:p>
      <w:pPr>
        <w:spacing w:line="440" w:lineRule="exact"/>
        <w:ind w:right="42" w:rightChars="20"/>
        <w:jc w:val="center"/>
        <w:rPr>
          <w:rFonts w:ascii="宋体" w:hAnsi="宋体" w:cs="Arial"/>
          <w:b/>
          <w:sz w:val="32"/>
          <w:szCs w:val="32"/>
        </w:rPr>
      </w:pPr>
    </w:p>
    <w:p>
      <w:pPr>
        <w:spacing w:line="440" w:lineRule="exact"/>
        <w:ind w:right="42" w:rightChars="20"/>
        <w:jc w:val="center"/>
        <w:rPr>
          <w:rFonts w:ascii="宋体" w:hAnsi="宋体" w:cs="Arial"/>
          <w:b/>
          <w:sz w:val="32"/>
          <w:szCs w:val="32"/>
        </w:rPr>
      </w:pPr>
    </w:p>
    <w:p>
      <w:pPr>
        <w:spacing w:line="440" w:lineRule="exact"/>
        <w:ind w:right="42" w:rightChars="20"/>
        <w:jc w:val="center"/>
        <w:rPr>
          <w:rFonts w:ascii="宋体" w:hAnsi="宋体" w:cs="Arial"/>
          <w:b/>
          <w:sz w:val="32"/>
          <w:szCs w:val="32"/>
        </w:rPr>
      </w:pPr>
      <w:r>
        <w:rPr>
          <w:rFonts w:ascii="宋体" w:hAnsi="宋体" w:cs="Arial"/>
          <w:b/>
          <w:sz w:val="32"/>
          <w:szCs w:val="32"/>
        </w:rPr>
        <w:t>20</w:t>
      </w:r>
      <w:r>
        <w:rPr>
          <w:rFonts w:hint="eastAsia" w:ascii="宋体" w:hAnsi="宋体" w:cs="Arial"/>
          <w:b/>
          <w:sz w:val="32"/>
          <w:szCs w:val="32"/>
        </w:rPr>
        <w:t>2</w:t>
      </w:r>
      <w:r>
        <w:rPr>
          <w:rFonts w:hint="eastAsia" w:ascii="宋体" w:hAnsi="宋体" w:cs="Arial"/>
          <w:b/>
          <w:sz w:val="32"/>
          <w:szCs w:val="32"/>
          <w:lang w:val="en-US" w:eastAsia="zh-CN"/>
        </w:rPr>
        <w:t>4</w:t>
      </w:r>
      <w:r>
        <w:rPr>
          <w:rFonts w:hint="eastAsia" w:ascii="宋体" w:hAnsi="宋体" w:cs="Arial"/>
          <w:b/>
          <w:sz w:val="32"/>
          <w:szCs w:val="32"/>
        </w:rPr>
        <w:t>年</w:t>
      </w:r>
      <w:r>
        <w:rPr>
          <w:rFonts w:hint="eastAsia" w:ascii="宋体" w:hAnsi="宋体" w:cs="Arial"/>
          <w:b/>
          <w:sz w:val="32"/>
          <w:szCs w:val="32"/>
          <w:u w:val="single"/>
        </w:rPr>
        <w:t xml:space="preserve">  </w:t>
      </w:r>
      <w:r>
        <w:rPr>
          <w:rFonts w:hint="eastAsia" w:ascii="宋体" w:hAnsi="宋体" w:cs="Arial"/>
          <w:b/>
          <w:sz w:val="32"/>
          <w:szCs w:val="32"/>
          <w:u w:val="single"/>
          <w:lang w:val="en-US" w:eastAsia="zh-CN"/>
        </w:rPr>
        <w:t>7</w:t>
      </w:r>
      <w:r>
        <w:rPr>
          <w:rFonts w:hint="eastAsia" w:ascii="宋体" w:hAnsi="宋体" w:cs="Arial"/>
          <w:b/>
          <w:sz w:val="32"/>
          <w:szCs w:val="32"/>
          <w:u w:val="single"/>
        </w:rPr>
        <w:t xml:space="preserve"> </w:t>
      </w:r>
      <w:r>
        <w:rPr>
          <w:rFonts w:hint="eastAsia" w:ascii="宋体" w:hAnsi="宋体" w:cs="Arial"/>
          <w:b/>
          <w:sz w:val="32"/>
          <w:szCs w:val="32"/>
        </w:rPr>
        <w:t>月</w:t>
      </w:r>
      <w:r>
        <w:rPr>
          <w:rFonts w:ascii="宋体" w:hAnsi="宋体" w:cs="Arial"/>
          <w:b/>
          <w:sz w:val="32"/>
          <w:szCs w:val="32"/>
        </w:rPr>
        <w:t xml:space="preserve"> </w:t>
      </w:r>
    </w:p>
    <w:p>
      <w:pPr>
        <w:widowControl/>
        <w:jc w:val="left"/>
        <w:rPr>
          <w:rFonts w:ascii="宋体" w:hAnsi="宋体"/>
          <w:sz w:val="32"/>
          <w:szCs w:val="32"/>
        </w:rPr>
      </w:pPr>
      <w:r>
        <w:rPr>
          <w:rFonts w:ascii="宋体" w:hAnsi="宋体"/>
          <w:sz w:val="32"/>
          <w:szCs w:val="32"/>
        </w:rPr>
        <w:br w:type="page"/>
      </w:r>
    </w:p>
    <w:p>
      <w:pPr>
        <w:widowControl/>
        <w:jc w:val="left"/>
        <w:rPr>
          <w:rFonts w:ascii="宋体" w:hAnsi="宋体"/>
        </w:rPr>
      </w:pPr>
    </w:p>
    <w:sdt>
      <w:sdtPr>
        <w:rPr>
          <w:rFonts w:ascii="宋体" w:hAnsi="宋体" w:cs="宋体"/>
          <w:b/>
          <w:color w:val="000000"/>
          <w:sz w:val="36"/>
          <w:szCs w:val="28"/>
          <w:lang w:val="en-US" w:eastAsia="zh-CN"/>
        </w:rPr>
        <w:id w:val="147481936"/>
        <w15:color w:val="DBDBDB"/>
        <w:docPartObj>
          <w:docPartGallery w:val="Table of Contents"/>
          <w:docPartUnique/>
        </w:docPartObj>
      </w:sdtPr>
      <w:sdtEndPr>
        <w:rPr>
          <w:rFonts w:ascii="宋体" w:hAnsi="宋体" w:cs="宋体"/>
          <w:b/>
          <w:color w:val="000000"/>
          <w:sz w:val="36"/>
          <w:szCs w:val="28"/>
          <w:lang w:val="en-US" w:eastAsia="zh-CN"/>
        </w:rPr>
      </w:sdtEndPr>
      <w:sdtContent>
        <w:p>
          <w:pPr>
            <w:spacing w:before="200" w:line="280" w:lineRule="exact"/>
            <w:jc w:val="center"/>
            <w:rPr>
              <w:rFonts w:ascii="宋体" w:hAnsi="宋体" w:cs="宋体"/>
              <w:b/>
              <w:color w:val="000000"/>
              <w:sz w:val="36"/>
              <w:szCs w:val="28"/>
            </w:rPr>
          </w:pPr>
          <w:r>
            <w:rPr>
              <w:rFonts w:ascii="宋体" w:hAnsi="宋体" w:cs="宋体"/>
              <w:b/>
              <w:color w:val="000000"/>
              <w:sz w:val="36"/>
              <w:szCs w:val="28"/>
            </w:rPr>
            <w:t>目</w:t>
          </w:r>
          <w:r>
            <w:rPr>
              <w:rFonts w:hint="eastAsia" w:ascii="宋体" w:hAnsi="宋体" w:cs="宋体"/>
              <w:b/>
              <w:color w:val="000000"/>
              <w:sz w:val="36"/>
              <w:szCs w:val="28"/>
              <w:lang w:val="en-US" w:eastAsia="zh-CN"/>
            </w:rPr>
            <w:t xml:space="preserve"> </w:t>
          </w:r>
          <w:r>
            <w:rPr>
              <w:rFonts w:ascii="宋体" w:hAnsi="宋体" w:cs="宋体"/>
              <w:b/>
              <w:color w:val="000000"/>
              <w:sz w:val="36"/>
              <w:szCs w:val="28"/>
            </w:rPr>
            <w:t>录</w:t>
          </w:r>
        </w:p>
        <w:p>
          <w:pPr>
            <w:pStyle w:val="16"/>
            <w:tabs>
              <w:tab w:val="right" w:leader="dot" w:pos="9430"/>
            </w:tabs>
            <w:spacing w:line="480" w:lineRule="auto"/>
          </w:pPr>
          <w:r>
            <w:fldChar w:fldCharType="begin"/>
          </w:r>
          <w:r>
            <w:instrText xml:space="preserve">TOC \o "1-1" \h \u </w:instrText>
          </w:r>
          <w:r>
            <w:fldChar w:fldCharType="separate"/>
          </w:r>
        </w:p>
        <w:p>
          <w:pPr>
            <w:pStyle w:val="16"/>
            <w:tabs>
              <w:tab w:val="right" w:leader="dot" w:pos="9430"/>
            </w:tabs>
            <w:spacing w:line="480" w:lineRule="auto"/>
            <w:rPr>
              <w:b/>
              <w:bCs/>
            </w:rPr>
          </w:pPr>
          <w:r>
            <w:rPr>
              <w:b/>
              <w:bCs/>
            </w:rPr>
            <w:fldChar w:fldCharType="begin"/>
          </w:r>
          <w:r>
            <w:rPr>
              <w:b/>
              <w:bCs/>
            </w:rPr>
            <w:instrText xml:space="preserve"> HYPERLINK \l _Toc5074 </w:instrText>
          </w:r>
          <w:r>
            <w:rPr>
              <w:b/>
              <w:bCs/>
            </w:rPr>
            <w:fldChar w:fldCharType="separate"/>
          </w:r>
          <w:r>
            <w:rPr>
              <w:rFonts w:hint="eastAsia"/>
              <w:b/>
              <w:bCs/>
            </w:rPr>
            <w:t>第一章 竞争性磋商公告</w:t>
          </w:r>
          <w:r>
            <w:rPr>
              <w:b/>
              <w:bCs/>
            </w:rPr>
            <w:tab/>
          </w:r>
          <w:r>
            <w:rPr>
              <w:b/>
              <w:bCs/>
            </w:rPr>
            <w:fldChar w:fldCharType="begin"/>
          </w:r>
          <w:r>
            <w:rPr>
              <w:b/>
              <w:bCs/>
            </w:rPr>
            <w:instrText xml:space="preserve"> PAGEREF _Toc5074 \h </w:instrText>
          </w:r>
          <w:r>
            <w:rPr>
              <w:b/>
              <w:bCs/>
            </w:rPr>
            <w:fldChar w:fldCharType="separate"/>
          </w:r>
          <w:r>
            <w:rPr>
              <w:b/>
              <w:bCs/>
            </w:rPr>
            <w:t>1</w:t>
          </w:r>
          <w:r>
            <w:rPr>
              <w:b/>
              <w:bCs/>
            </w:rPr>
            <w:fldChar w:fldCharType="end"/>
          </w:r>
          <w:r>
            <w:rPr>
              <w:b/>
              <w:bCs/>
            </w:rPr>
            <w:fldChar w:fldCharType="end"/>
          </w:r>
        </w:p>
        <w:p>
          <w:pPr>
            <w:pStyle w:val="16"/>
            <w:tabs>
              <w:tab w:val="right" w:leader="dot" w:pos="9430"/>
            </w:tabs>
            <w:spacing w:line="480" w:lineRule="auto"/>
            <w:rPr>
              <w:b/>
              <w:bCs/>
            </w:rPr>
          </w:pPr>
          <w:r>
            <w:rPr>
              <w:b/>
              <w:bCs/>
            </w:rPr>
            <w:fldChar w:fldCharType="begin"/>
          </w:r>
          <w:r>
            <w:rPr>
              <w:b/>
              <w:bCs/>
            </w:rPr>
            <w:instrText xml:space="preserve"> HYPERLINK \l _Toc694 </w:instrText>
          </w:r>
          <w:r>
            <w:rPr>
              <w:b/>
              <w:bCs/>
            </w:rPr>
            <w:fldChar w:fldCharType="separate"/>
          </w:r>
          <w:r>
            <w:rPr>
              <w:rFonts w:hint="eastAsia" w:ascii="Times New Roman" w:hAnsi="Times New Roman"/>
              <w:b/>
              <w:bCs/>
              <w:lang w:val="en-US" w:eastAsia="zh-CN"/>
            </w:rPr>
            <w:t xml:space="preserve">第二章 </w:t>
          </w:r>
          <w:r>
            <w:rPr>
              <w:rFonts w:hint="eastAsia" w:ascii="Times New Roman" w:hAnsi="Times New Roman"/>
              <w:b/>
              <w:bCs/>
            </w:rPr>
            <w:t>供应商须知</w:t>
          </w:r>
          <w:r>
            <w:rPr>
              <w:b/>
              <w:bCs/>
            </w:rPr>
            <w:tab/>
          </w:r>
          <w:r>
            <w:rPr>
              <w:b/>
              <w:bCs/>
            </w:rPr>
            <w:fldChar w:fldCharType="begin"/>
          </w:r>
          <w:r>
            <w:rPr>
              <w:b/>
              <w:bCs/>
            </w:rPr>
            <w:instrText xml:space="preserve"> PAGEREF _Toc694 \h </w:instrText>
          </w:r>
          <w:r>
            <w:rPr>
              <w:b/>
              <w:bCs/>
            </w:rPr>
            <w:fldChar w:fldCharType="separate"/>
          </w:r>
          <w:r>
            <w:rPr>
              <w:b/>
              <w:bCs/>
            </w:rPr>
            <w:t>3</w:t>
          </w:r>
          <w:r>
            <w:rPr>
              <w:b/>
              <w:bCs/>
            </w:rPr>
            <w:fldChar w:fldCharType="end"/>
          </w:r>
          <w:r>
            <w:rPr>
              <w:b/>
              <w:bCs/>
            </w:rPr>
            <w:fldChar w:fldCharType="end"/>
          </w:r>
        </w:p>
        <w:p>
          <w:pPr>
            <w:pStyle w:val="16"/>
            <w:tabs>
              <w:tab w:val="right" w:leader="dot" w:pos="9430"/>
            </w:tabs>
            <w:spacing w:line="480" w:lineRule="auto"/>
            <w:rPr>
              <w:b/>
              <w:bCs/>
            </w:rPr>
          </w:pPr>
          <w:r>
            <w:rPr>
              <w:b/>
              <w:bCs/>
            </w:rPr>
            <w:fldChar w:fldCharType="begin"/>
          </w:r>
          <w:r>
            <w:rPr>
              <w:b/>
              <w:bCs/>
            </w:rPr>
            <w:instrText xml:space="preserve"> HYPERLINK \l _Toc32497 </w:instrText>
          </w:r>
          <w:r>
            <w:rPr>
              <w:b/>
              <w:bCs/>
            </w:rPr>
            <w:fldChar w:fldCharType="separate"/>
          </w:r>
          <w:r>
            <w:rPr>
              <w:rFonts w:hint="eastAsia" w:ascii="Times New Roman" w:hAnsi="Times New Roman"/>
              <w:b/>
              <w:bCs/>
            </w:rPr>
            <w:t>第三章 采购需求</w:t>
          </w:r>
          <w:r>
            <w:rPr>
              <w:b/>
              <w:bCs/>
            </w:rPr>
            <w:tab/>
          </w:r>
          <w:r>
            <w:rPr>
              <w:b/>
              <w:bCs/>
            </w:rPr>
            <w:fldChar w:fldCharType="begin"/>
          </w:r>
          <w:r>
            <w:rPr>
              <w:b/>
              <w:bCs/>
            </w:rPr>
            <w:instrText xml:space="preserve"> PAGEREF _Toc32497 \h </w:instrText>
          </w:r>
          <w:r>
            <w:rPr>
              <w:b/>
              <w:bCs/>
            </w:rPr>
            <w:fldChar w:fldCharType="separate"/>
          </w:r>
          <w:r>
            <w:rPr>
              <w:b/>
              <w:bCs/>
            </w:rPr>
            <w:t>16</w:t>
          </w:r>
          <w:r>
            <w:rPr>
              <w:b/>
              <w:bCs/>
            </w:rPr>
            <w:fldChar w:fldCharType="end"/>
          </w:r>
          <w:r>
            <w:rPr>
              <w:b/>
              <w:bCs/>
            </w:rPr>
            <w:fldChar w:fldCharType="end"/>
          </w:r>
        </w:p>
        <w:p>
          <w:pPr>
            <w:pStyle w:val="16"/>
            <w:tabs>
              <w:tab w:val="right" w:leader="dot" w:pos="9430"/>
            </w:tabs>
            <w:spacing w:line="480" w:lineRule="auto"/>
            <w:rPr>
              <w:b/>
              <w:bCs/>
            </w:rPr>
          </w:pPr>
          <w:r>
            <w:rPr>
              <w:b/>
              <w:bCs/>
            </w:rPr>
            <w:fldChar w:fldCharType="begin"/>
          </w:r>
          <w:r>
            <w:rPr>
              <w:b/>
              <w:bCs/>
            </w:rPr>
            <w:instrText xml:space="preserve"> HYPERLINK \l _Toc20347 </w:instrText>
          </w:r>
          <w:r>
            <w:rPr>
              <w:b/>
              <w:bCs/>
            </w:rPr>
            <w:fldChar w:fldCharType="separate"/>
          </w:r>
          <w:r>
            <w:rPr>
              <w:rFonts w:hint="eastAsia" w:ascii="Times New Roman" w:hAnsi="Times New Roman"/>
              <w:b/>
              <w:bCs/>
            </w:rPr>
            <w:t>第四章</w:t>
          </w:r>
          <w:r>
            <w:rPr>
              <w:rFonts w:hint="eastAsia" w:ascii="Times New Roman" w:hAnsi="Times New Roman"/>
              <w:b/>
              <w:bCs/>
              <w:lang w:val="en-US" w:eastAsia="zh-CN"/>
            </w:rPr>
            <w:t xml:space="preserve"> </w:t>
          </w:r>
          <w:r>
            <w:rPr>
              <w:rFonts w:hint="eastAsia" w:ascii="Times New Roman" w:hAnsi="Times New Roman"/>
              <w:b/>
              <w:bCs/>
            </w:rPr>
            <w:t>评审方法和标准</w:t>
          </w:r>
          <w:r>
            <w:rPr>
              <w:b/>
              <w:bCs/>
            </w:rPr>
            <w:tab/>
          </w:r>
          <w:r>
            <w:rPr>
              <w:b/>
              <w:bCs/>
            </w:rPr>
            <w:fldChar w:fldCharType="begin"/>
          </w:r>
          <w:r>
            <w:rPr>
              <w:b/>
              <w:bCs/>
            </w:rPr>
            <w:instrText xml:space="preserve"> PAGEREF _Toc20347 \h </w:instrText>
          </w:r>
          <w:r>
            <w:rPr>
              <w:b/>
              <w:bCs/>
            </w:rPr>
            <w:fldChar w:fldCharType="separate"/>
          </w:r>
          <w:r>
            <w:rPr>
              <w:b/>
              <w:bCs/>
            </w:rPr>
            <w:t>25</w:t>
          </w:r>
          <w:r>
            <w:rPr>
              <w:b/>
              <w:bCs/>
            </w:rPr>
            <w:fldChar w:fldCharType="end"/>
          </w:r>
          <w:r>
            <w:rPr>
              <w:b/>
              <w:bCs/>
            </w:rPr>
            <w:fldChar w:fldCharType="end"/>
          </w:r>
        </w:p>
        <w:p>
          <w:pPr>
            <w:pStyle w:val="16"/>
            <w:tabs>
              <w:tab w:val="right" w:leader="dot" w:pos="9430"/>
            </w:tabs>
            <w:spacing w:line="480" w:lineRule="auto"/>
            <w:rPr>
              <w:b/>
              <w:bCs/>
            </w:rPr>
          </w:pPr>
          <w:r>
            <w:rPr>
              <w:b/>
              <w:bCs/>
            </w:rPr>
            <w:fldChar w:fldCharType="begin"/>
          </w:r>
          <w:r>
            <w:rPr>
              <w:b/>
              <w:bCs/>
            </w:rPr>
            <w:instrText xml:space="preserve"> HYPERLINK \l _Toc28253 </w:instrText>
          </w:r>
          <w:r>
            <w:rPr>
              <w:b/>
              <w:bCs/>
            </w:rPr>
            <w:fldChar w:fldCharType="separate"/>
          </w:r>
          <w:r>
            <w:rPr>
              <w:rFonts w:hint="eastAsia" w:ascii="Times New Roman" w:hAnsi="Times New Roman"/>
              <w:b/>
              <w:bCs/>
            </w:rPr>
            <w:t>第五章</w:t>
          </w:r>
          <w:r>
            <w:rPr>
              <w:rFonts w:hint="eastAsia" w:ascii="Times New Roman" w:hAnsi="Times New Roman"/>
              <w:b/>
              <w:bCs/>
              <w:lang w:val="en-US" w:eastAsia="zh-CN"/>
            </w:rPr>
            <w:t xml:space="preserve"> </w:t>
          </w:r>
          <w:r>
            <w:rPr>
              <w:rFonts w:hint="eastAsia" w:ascii="Times New Roman" w:hAnsi="Times New Roman"/>
              <w:b/>
              <w:bCs/>
            </w:rPr>
            <w:t>政府采购合同</w:t>
          </w:r>
          <w:r>
            <w:rPr>
              <w:b/>
              <w:bCs/>
            </w:rPr>
            <w:tab/>
          </w:r>
          <w:r>
            <w:rPr>
              <w:b/>
              <w:bCs/>
            </w:rPr>
            <w:fldChar w:fldCharType="begin"/>
          </w:r>
          <w:r>
            <w:rPr>
              <w:b/>
              <w:bCs/>
            </w:rPr>
            <w:instrText xml:space="preserve"> PAGEREF _Toc28253 \h </w:instrText>
          </w:r>
          <w:r>
            <w:rPr>
              <w:b/>
              <w:bCs/>
            </w:rPr>
            <w:fldChar w:fldCharType="separate"/>
          </w:r>
          <w:r>
            <w:rPr>
              <w:b/>
              <w:bCs/>
            </w:rPr>
            <w:t>30</w:t>
          </w:r>
          <w:r>
            <w:rPr>
              <w:b/>
              <w:bCs/>
            </w:rPr>
            <w:fldChar w:fldCharType="end"/>
          </w:r>
          <w:r>
            <w:rPr>
              <w:b/>
              <w:bCs/>
            </w:rPr>
            <w:fldChar w:fldCharType="end"/>
          </w:r>
        </w:p>
        <w:p>
          <w:pPr>
            <w:pStyle w:val="16"/>
            <w:tabs>
              <w:tab w:val="right" w:leader="dot" w:pos="9430"/>
            </w:tabs>
            <w:spacing w:line="480" w:lineRule="auto"/>
          </w:pPr>
          <w:r>
            <w:rPr>
              <w:b/>
              <w:bCs/>
            </w:rPr>
            <w:fldChar w:fldCharType="begin"/>
          </w:r>
          <w:r>
            <w:rPr>
              <w:b/>
              <w:bCs/>
            </w:rPr>
            <w:instrText xml:space="preserve"> HYPERLINK \l _Toc32677 </w:instrText>
          </w:r>
          <w:r>
            <w:rPr>
              <w:b/>
              <w:bCs/>
            </w:rPr>
            <w:fldChar w:fldCharType="separate"/>
          </w:r>
          <w:r>
            <w:rPr>
              <w:rFonts w:hint="eastAsia" w:ascii="Times New Roman" w:hAnsi="Times New Roman"/>
              <w:b/>
              <w:bCs/>
              <w:lang w:val="en-US" w:eastAsia="zh-CN"/>
            </w:rPr>
            <w:t>第六章</w:t>
          </w:r>
          <w:r>
            <w:rPr>
              <w:rFonts w:hint="eastAsia" w:ascii="Times New Roman" w:hAnsi="Times New Roman"/>
              <w:b/>
              <w:bCs/>
            </w:rPr>
            <w:t xml:space="preserve"> 响应文件格式</w:t>
          </w:r>
          <w:r>
            <w:rPr>
              <w:b/>
              <w:bCs/>
            </w:rPr>
            <w:tab/>
          </w:r>
          <w:r>
            <w:rPr>
              <w:b/>
              <w:bCs/>
            </w:rPr>
            <w:fldChar w:fldCharType="begin"/>
          </w:r>
          <w:r>
            <w:rPr>
              <w:b/>
              <w:bCs/>
            </w:rPr>
            <w:instrText xml:space="preserve"> PAGEREF _Toc32677 \h </w:instrText>
          </w:r>
          <w:r>
            <w:rPr>
              <w:b/>
              <w:bCs/>
            </w:rPr>
            <w:fldChar w:fldCharType="separate"/>
          </w:r>
          <w:r>
            <w:rPr>
              <w:b/>
              <w:bCs/>
            </w:rPr>
            <w:t>40</w:t>
          </w:r>
          <w:r>
            <w:rPr>
              <w:b/>
              <w:bCs/>
            </w:rPr>
            <w:fldChar w:fldCharType="end"/>
          </w:r>
          <w:r>
            <w:rPr>
              <w:b/>
              <w:bCs/>
            </w:rPr>
            <w:fldChar w:fldCharType="end"/>
          </w:r>
        </w:p>
        <w:p>
          <w:pPr>
            <w:spacing w:line="480" w:lineRule="auto"/>
          </w:pPr>
          <w:r>
            <w:fldChar w:fldCharType="end"/>
          </w:r>
        </w:p>
      </w:sdtContent>
    </w:sdt>
    <w:p>
      <w:pPr>
        <w:pStyle w:val="6"/>
        <w:keepNext/>
        <w:keepLines/>
        <w:pageBreakBefore w:val="0"/>
        <w:widowControl w:val="0"/>
        <w:kinsoku/>
        <w:wordWrap/>
        <w:overflowPunct/>
        <w:topLinePunct w:val="0"/>
        <w:autoSpaceDE/>
        <w:autoSpaceDN/>
        <w:bidi w:val="0"/>
        <w:adjustRightInd/>
        <w:snapToGrid/>
        <w:spacing w:after="90" w:line="360" w:lineRule="auto"/>
        <w:jc w:val="center"/>
        <w:textAlignment w:val="auto"/>
        <w:rPr>
          <w:rFonts w:hint="eastAsia"/>
        </w:rPr>
        <w:sectPr>
          <w:pgSz w:w="11910" w:h="16850"/>
          <w:pgMar w:top="1400" w:right="1240" w:bottom="1460" w:left="1240" w:header="877" w:footer="1266" w:gutter="0"/>
          <w:cols w:space="720" w:num="1"/>
        </w:sectPr>
      </w:pPr>
      <w:bookmarkStart w:id="11" w:name="_Toc5074"/>
    </w:p>
    <w:p>
      <w:pPr>
        <w:pStyle w:val="6"/>
        <w:keepNext/>
        <w:keepLines/>
        <w:pageBreakBefore w:val="0"/>
        <w:widowControl w:val="0"/>
        <w:kinsoku/>
        <w:wordWrap/>
        <w:overflowPunct/>
        <w:topLinePunct w:val="0"/>
        <w:autoSpaceDE/>
        <w:autoSpaceDN/>
        <w:bidi w:val="0"/>
        <w:adjustRightInd/>
        <w:snapToGrid/>
        <w:spacing w:after="90" w:line="360" w:lineRule="auto"/>
        <w:jc w:val="center"/>
        <w:textAlignment w:val="auto"/>
        <w:rPr>
          <w:rFonts w:hint="eastAsia"/>
        </w:rPr>
      </w:pPr>
      <w:r>
        <w:rPr>
          <w:rFonts w:hint="eastAsia"/>
        </w:rPr>
        <w:t>第一章 竞争性磋商公告</w:t>
      </w:r>
      <w:bookmarkEnd w:id="0"/>
      <w:bookmarkEnd w:id="1"/>
      <w:bookmarkEnd w:id="11"/>
    </w:p>
    <w:p>
      <w:pPr>
        <w:keepNext/>
        <w:keepLines/>
        <w:spacing w:before="260" w:after="260" w:line="360" w:lineRule="auto"/>
        <w:ind w:firstLine="422" w:firstLineChars="200"/>
        <w:outlineLvl w:val="1"/>
        <w:rPr>
          <w:rFonts w:hint="eastAsia" w:ascii="宋体" w:hAnsi="宋体" w:eastAsia="宋体" w:cs="宋体"/>
          <w:b/>
          <w:bCs w:val="0"/>
          <w:sz w:val="21"/>
          <w:szCs w:val="21"/>
        </w:rPr>
      </w:pPr>
      <w:r>
        <w:rPr>
          <w:rFonts w:hint="eastAsia" w:ascii="宋体" w:hAnsi="宋体" w:eastAsia="宋体" w:cs="宋体"/>
          <w:b/>
          <w:bCs w:val="0"/>
          <w:sz w:val="21"/>
          <w:szCs w:val="21"/>
        </w:rPr>
        <w:t>项目概况</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光武综治中心信息化设备采购的潜在供应商应在</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界首市人民政府》、《农业全程网》</w:t>
      </w:r>
      <w:r>
        <w:rPr>
          <w:rFonts w:hint="eastAsia" w:ascii="宋体" w:hAnsi="宋体" w:eastAsia="宋体" w:cs="宋体"/>
          <w:sz w:val="21"/>
          <w:szCs w:val="21"/>
        </w:rPr>
        <w:t>网站获取采购文件，并于</w:t>
      </w:r>
      <w:r>
        <w:rPr>
          <w:rFonts w:hint="eastAsia" w:ascii="宋体" w:hAnsi="宋体" w:eastAsia="宋体" w:cs="宋体"/>
          <w:sz w:val="21"/>
          <w:szCs w:val="21"/>
          <w:lang w:val="en-US" w:eastAsia="zh-CN"/>
        </w:rPr>
        <w:t>2024</w:t>
      </w:r>
      <w:r>
        <w:rPr>
          <w:rFonts w:hint="eastAsia" w:ascii="宋体" w:hAnsi="宋体" w:eastAsia="宋体" w:cs="宋体"/>
          <w:sz w:val="21"/>
          <w:szCs w:val="21"/>
        </w:rPr>
        <w:t>年</w:t>
      </w:r>
      <w:r>
        <w:rPr>
          <w:rFonts w:hint="eastAsia" w:ascii="宋体" w:hAnsi="宋体" w:eastAsia="宋体" w:cs="宋体"/>
          <w:sz w:val="21"/>
          <w:szCs w:val="21"/>
          <w:lang w:val="en-US" w:eastAsia="zh-CN"/>
        </w:rPr>
        <w:t>8</w:t>
      </w:r>
      <w:r>
        <w:rPr>
          <w:rFonts w:hint="eastAsia" w:ascii="宋体" w:hAnsi="宋体" w:eastAsia="宋体" w:cs="宋体"/>
          <w:sz w:val="21"/>
          <w:szCs w:val="21"/>
        </w:rPr>
        <w:t>月</w:t>
      </w:r>
      <w:r>
        <w:rPr>
          <w:rFonts w:hint="eastAsia" w:ascii="宋体" w:hAnsi="宋体" w:cs="宋体"/>
          <w:sz w:val="21"/>
          <w:szCs w:val="21"/>
          <w:lang w:val="en-US" w:eastAsia="zh-CN"/>
        </w:rPr>
        <w:t>12</w:t>
      </w:r>
      <w:r>
        <w:rPr>
          <w:rFonts w:hint="eastAsia" w:ascii="宋体" w:hAnsi="宋体" w:eastAsia="宋体" w:cs="宋体"/>
          <w:sz w:val="21"/>
          <w:szCs w:val="21"/>
        </w:rPr>
        <w:t>日</w:t>
      </w:r>
      <w:r>
        <w:rPr>
          <w:rFonts w:hint="eastAsia" w:ascii="宋体" w:hAnsi="宋体" w:eastAsia="宋体" w:cs="宋体"/>
          <w:sz w:val="21"/>
          <w:szCs w:val="21"/>
          <w:lang w:val="en-US" w:eastAsia="zh-CN"/>
        </w:rPr>
        <w:t>1</w:t>
      </w:r>
      <w:r>
        <w:rPr>
          <w:rFonts w:hint="eastAsia" w:ascii="宋体" w:hAnsi="宋体" w:cs="宋体"/>
          <w:sz w:val="21"/>
          <w:szCs w:val="21"/>
          <w:lang w:val="en-US" w:eastAsia="zh-CN"/>
        </w:rPr>
        <w:t>1</w:t>
      </w:r>
      <w:r>
        <w:rPr>
          <w:rFonts w:hint="eastAsia" w:ascii="宋体" w:hAnsi="宋体" w:eastAsia="宋体" w:cs="宋体"/>
          <w:sz w:val="21"/>
          <w:szCs w:val="21"/>
        </w:rPr>
        <w:t>点</w:t>
      </w:r>
      <w:r>
        <w:rPr>
          <w:rFonts w:hint="eastAsia" w:ascii="宋体" w:hAnsi="宋体" w:eastAsia="宋体" w:cs="宋体"/>
          <w:sz w:val="21"/>
          <w:szCs w:val="21"/>
          <w:lang w:val="en-US" w:eastAsia="zh-CN"/>
        </w:rPr>
        <w:t>00</w:t>
      </w:r>
      <w:r>
        <w:rPr>
          <w:rFonts w:hint="eastAsia" w:ascii="宋体" w:hAnsi="宋体" w:eastAsia="宋体" w:cs="宋体"/>
          <w:sz w:val="21"/>
          <w:szCs w:val="21"/>
        </w:rPr>
        <w:t>分（北京时间）前提交响应文件。</w:t>
      </w:r>
    </w:p>
    <w:p>
      <w:pPr>
        <w:keepNext/>
        <w:keepLines/>
        <w:spacing w:before="260" w:after="260" w:line="360" w:lineRule="auto"/>
        <w:outlineLvl w:val="1"/>
        <w:rPr>
          <w:rFonts w:hint="eastAsia" w:ascii="宋体" w:hAnsi="宋体" w:eastAsia="宋体" w:cs="宋体"/>
          <w:b/>
          <w:bCs w:val="0"/>
          <w:sz w:val="21"/>
          <w:szCs w:val="21"/>
        </w:rPr>
      </w:pPr>
      <w:bookmarkStart w:id="12" w:name="_Toc35393629"/>
      <w:bookmarkStart w:id="13" w:name="_Toc35393798"/>
      <w:bookmarkStart w:id="14" w:name="_Toc28359012"/>
      <w:bookmarkStart w:id="15" w:name="_Toc28359089"/>
      <w:r>
        <w:rPr>
          <w:rFonts w:hint="eastAsia" w:ascii="宋体" w:hAnsi="宋体" w:eastAsia="宋体" w:cs="宋体"/>
          <w:b/>
          <w:bCs w:val="0"/>
          <w:sz w:val="21"/>
          <w:szCs w:val="21"/>
        </w:rPr>
        <w:t>一、项目基本情况</w:t>
      </w:r>
      <w:bookmarkEnd w:id="12"/>
      <w:bookmarkEnd w:id="13"/>
      <w:bookmarkEnd w:id="14"/>
      <w:bookmarkEnd w:id="15"/>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项目编号：341282100j20240701                          </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项目名称：光武综治中心信息化设备采购                          </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采购方式：竞争性磋商 </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预算金额：179076.50</w:t>
      </w:r>
      <w:r>
        <w:rPr>
          <w:rFonts w:hint="eastAsia" w:ascii="宋体" w:hAnsi="宋体" w:eastAsia="宋体" w:cs="宋体"/>
          <w:sz w:val="21"/>
          <w:szCs w:val="21"/>
          <w:lang w:val="en-US" w:eastAsia="zh-CN"/>
        </w:rPr>
        <w:t>元</w:t>
      </w:r>
      <w:r>
        <w:rPr>
          <w:rFonts w:hint="eastAsia" w:ascii="宋体" w:hAnsi="宋体" w:eastAsia="宋体" w:cs="宋体"/>
          <w:sz w:val="21"/>
          <w:szCs w:val="21"/>
        </w:rPr>
        <w:t xml:space="preserve">                         </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最高限价：179076.50元                   </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rPr>
        <w:t>采购需求：会议室扩声系统</w:t>
      </w:r>
      <w:r>
        <w:rPr>
          <w:rFonts w:hint="eastAsia" w:ascii="宋体" w:hAnsi="宋体" w:eastAsia="宋体" w:cs="宋体"/>
          <w:sz w:val="21"/>
          <w:szCs w:val="21"/>
          <w:lang w:eastAsia="zh-CN"/>
        </w:rPr>
        <w:t>、</w:t>
      </w:r>
      <w:r>
        <w:rPr>
          <w:rFonts w:hint="eastAsia" w:ascii="宋体" w:hAnsi="宋体" w:eastAsia="宋体" w:cs="宋体"/>
          <w:sz w:val="21"/>
          <w:szCs w:val="21"/>
        </w:rPr>
        <w:t>会议室LED小间距显示大屏</w:t>
      </w:r>
      <w:r>
        <w:rPr>
          <w:rFonts w:hint="eastAsia" w:ascii="宋体" w:hAnsi="宋体" w:eastAsia="宋体" w:cs="宋体"/>
          <w:sz w:val="21"/>
          <w:szCs w:val="21"/>
          <w:lang w:eastAsia="zh-CN"/>
        </w:rPr>
        <w:t>、</w:t>
      </w:r>
      <w:r>
        <w:rPr>
          <w:rFonts w:hint="eastAsia" w:ascii="宋体" w:hAnsi="宋体" w:eastAsia="宋体" w:cs="宋体"/>
          <w:sz w:val="21"/>
          <w:szCs w:val="21"/>
        </w:rPr>
        <w:t>安防视频监控</w:t>
      </w:r>
      <w:r>
        <w:rPr>
          <w:rFonts w:hint="eastAsia" w:ascii="宋体" w:hAnsi="宋体" w:eastAsia="宋体" w:cs="宋体"/>
          <w:sz w:val="21"/>
          <w:szCs w:val="21"/>
          <w:lang w:eastAsia="zh-CN"/>
        </w:rPr>
        <w:t>、</w:t>
      </w:r>
      <w:r>
        <w:rPr>
          <w:rFonts w:hint="eastAsia" w:ascii="宋体" w:hAnsi="宋体" w:eastAsia="宋体" w:cs="宋体"/>
          <w:sz w:val="21"/>
          <w:szCs w:val="21"/>
        </w:rPr>
        <w:t>综合布线、无线网络</w:t>
      </w:r>
      <w:r>
        <w:rPr>
          <w:rFonts w:hint="eastAsia" w:ascii="宋体" w:hAnsi="宋体" w:eastAsia="宋体" w:cs="宋体"/>
          <w:sz w:val="21"/>
          <w:szCs w:val="21"/>
          <w:lang w:val="en-US" w:eastAsia="zh-CN"/>
        </w:rPr>
        <w:t>等，具体内容详见第三章采购需求。</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合同履行期限：</w:t>
      </w:r>
      <w:r>
        <w:rPr>
          <w:rFonts w:hint="eastAsia" w:ascii="宋体" w:hAnsi="宋体" w:eastAsia="宋体" w:cs="宋体"/>
          <w:sz w:val="21"/>
          <w:szCs w:val="21"/>
          <w:lang w:val="en-US" w:eastAsia="zh-CN"/>
        </w:rPr>
        <w:t>15日内完成供货及安装调试。</w:t>
      </w:r>
      <w:r>
        <w:rPr>
          <w:rFonts w:hint="eastAsia" w:ascii="宋体" w:hAnsi="宋体" w:eastAsia="宋体" w:cs="宋体"/>
          <w:sz w:val="21"/>
          <w:szCs w:val="21"/>
        </w:rPr>
        <w:t xml:space="preserve">                            </w:t>
      </w:r>
    </w:p>
    <w:p>
      <w:pPr>
        <w:spacing w:line="360" w:lineRule="auto"/>
        <w:ind w:firstLine="420" w:firstLineChars="200"/>
        <w:rPr>
          <w:rFonts w:hint="eastAsia" w:ascii="宋体" w:hAnsi="宋体" w:eastAsia="宋体" w:cs="宋体"/>
          <w:sz w:val="21"/>
          <w:szCs w:val="21"/>
        </w:rPr>
      </w:pPr>
      <w:bookmarkStart w:id="16" w:name="_Toc35393799"/>
      <w:bookmarkStart w:id="17" w:name="_Toc28359090"/>
      <w:bookmarkStart w:id="18" w:name="_Toc35393630"/>
      <w:bookmarkStart w:id="19" w:name="_Toc28359013"/>
      <w:r>
        <w:rPr>
          <w:rFonts w:hint="eastAsia" w:ascii="宋体" w:hAnsi="宋体" w:eastAsia="宋体" w:cs="宋体"/>
          <w:sz w:val="21"/>
          <w:szCs w:val="21"/>
        </w:rPr>
        <w:t xml:space="preserve">本项目是否接受联合体：否  </w:t>
      </w:r>
    </w:p>
    <w:p>
      <w:pPr>
        <w:keepNext/>
        <w:keepLines/>
        <w:spacing w:before="260" w:after="260" w:line="360" w:lineRule="auto"/>
        <w:outlineLvl w:val="1"/>
        <w:rPr>
          <w:rFonts w:hint="eastAsia" w:ascii="宋体" w:hAnsi="宋体" w:eastAsia="宋体" w:cs="宋体"/>
          <w:b/>
          <w:bCs w:val="0"/>
          <w:sz w:val="21"/>
          <w:szCs w:val="21"/>
        </w:rPr>
      </w:pPr>
      <w:r>
        <w:rPr>
          <w:rFonts w:hint="eastAsia" w:ascii="宋体" w:hAnsi="宋体" w:eastAsia="宋体" w:cs="宋体"/>
          <w:b/>
          <w:bCs w:val="0"/>
          <w:sz w:val="21"/>
          <w:szCs w:val="21"/>
        </w:rPr>
        <w:t>二、申请人的资格要求：</w:t>
      </w:r>
      <w:bookmarkEnd w:id="16"/>
      <w:bookmarkEnd w:id="17"/>
      <w:bookmarkEnd w:id="18"/>
      <w:bookmarkEnd w:id="19"/>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1.满足《中华人民共和国政府采购法》第二十二条规定；</w:t>
      </w:r>
    </w:p>
    <w:p>
      <w:pPr>
        <w:spacing w:line="360" w:lineRule="auto"/>
        <w:ind w:firstLine="420" w:firstLineChars="200"/>
        <w:rPr>
          <w:rFonts w:hint="eastAsia" w:ascii="宋体" w:hAnsi="宋体" w:eastAsia="宋体" w:cs="宋体"/>
          <w:sz w:val="21"/>
          <w:szCs w:val="21"/>
          <w:lang w:val="en-US" w:eastAsia="zh-CN"/>
        </w:rPr>
      </w:pPr>
      <w:bookmarkStart w:id="20" w:name="_Toc28359091"/>
      <w:bookmarkStart w:id="21" w:name="_Toc28359014"/>
      <w:r>
        <w:rPr>
          <w:rFonts w:hint="eastAsia" w:ascii="宋体" w:hAnsi="宋体" w:eastAsia="宋体" w:cs="宋体"/>
          <w:sz w:val="21"/>
          <w:szCs w:val="21"/>
        </w:rPr>
        <w:t>2.落实政府采购政策需满足的资格要求：</w:t>
      </w:r>
      <w:r>
        <w:rPr>
          <w:rFonts w:hint="eastAsia" w:ascii="宋体" w:hAnsi="宋体" w:eastAsia="宋体" w:cs="宋体"/>
          <w:sz w:val="21"/>
          <w:szCs w:val="21"/>
          <w:lang w:val="en-US" w:eastAsia="zh-CN"/>
        </w:rPr>
        <w:t>无。</w:t>
      </w:r>
    </w:p>
    <w:p>
      <w:pPr>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3.本项目的特定资格要求：具有有效的营业执照</w:t>
      </w:r>
      <w:r>
        <w:rPr>
          <w:rFonts w:hint="eastAsia" w:ascii="宋体" w:hAnsi="宋体" w:eastAsia="宋体" w:cs="宋体"/>
          <w:sz w:val="21"/>
          <w:szCs w:val="21"/>
          <w:lang w:eastAsia="zh-CN"/>
        </w:rPr>
        <w:t>。</w:t>
      </w:r>
    </w:p>
    <w:p>
      <w:pPr>
        <w:keepNext/>
        <w:keepLines/>
        <w:spacing w:before="260" w:after="260" w:line="360" w:lineRule="auto"/>
        <w:outlineLvl w:val="1"/>
        <w:rPr>
          <w:rFonts w:hint="eastAsia" w:ascii="宋体" w:hAnsi="宋体" w:eastAsia="宋体" w:cs="宋体"/>
          <w:b/>
          <w:bCs w:val="0"/>
          <w:sz w:val="21"/>
          <w:szCs w:val="21"/>
        </w:rPr>
      </w:pPr>
      <w:bookmarkStart w:id="22" w:name="_Toc35393800"/>
      <w:bookmarkStart w:id="23" w:name="_Toc35393631"/>
      <w:r>
        <w:rPr>
          <w:rFonts w:hint="eastAsia" w:ascii="宋体" w:hAnsi="宋体" w:eastAsia="宋体" w:cs="宋体"/>
          <w:b/>
          <w:bCs w:val="0"/>
          <w:sz w:val="21"/>
          <w:szCs w:val="21"/>
        </w:rPr>
        <w:t>三、获取采购文件</w:t>
      </w:r>
      <w:bookmarkEnd w:id="20"/>
      <w:bookmarkEnd w:id="21"/>
      <w:bookmarkEnd w:id="22"/>
      <w:bookmarkEnd w:id="23"/>
    </w:p>
    <w:p>
      <w:pPr>
        <w:spacing w:line="360" w:lineRule="auto"/>
        <w:ind w:firstLine="420" w:firstLineChars="200"/>
        <w:rPr>
          <w:rFonts w:hint="eastAsia" w:ascii="宋体" w:hAnsi="宋体" w:eastAsia="宋体" w:cs="宋体"/>
          <w:sz w:val="21"/>
          <w:szCs w:val="21"/>
        </w:rPr>
      </w:pPr>
      <w:bookmarkStart w:id="24" w:name="_Toc35393801"/>
      <w:bookmarkStart w:id="25" w:name="_Toc28359015"/>
      <w:bookmarkStart w:id="26" w:name="_Toc35393632"/>
      <w:bookmarkStart w:id="27" w:name="_Toc28359092"/>
      <w:r>
        <w:rPr>
          <w:rFonts w:hint="eastAsia" w:ascii="宋体" w:hAnsi="宋体" w:eastAsia="宋体" w:cs="宋体"/>
          <w:sz w:val="21"/>
          <w:szCs w:val="21"/>
        </w:rPr>
        <w:t>1、自采购公告发布之日起，凡有意参加的供应商，可在《界首市人民政府》</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《农业全程网》</w:t>
      </w:r>
      <w:r>
        <w:rPr>
          <w:rFonts w:hint="eastAsia" w:ascii="宋体" w:hAnsi="宋体" w:eastAsia="宋体" w:cs="宋体"/>
          <w:sz w:val="21"/>
          <w:szCs w:val="21"/>
        </w:rPr>
        <w:t>网站免费下载采购文件。</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2、招标文件发售费用500元/每份，售后不退，递交响应文件同时交纳。未交纳</w:t>
      </w:r>
      <w:r>
        <w:rPr>
          <w:rFonts w:hint="eastAsia" w:ascii="宋体" w:hAnsi="宋体" w:eastAsia="宋体" w:cs="宋体"/>
          <w:sz w:val="21"/>
          <w:szCs w:val="21"/>
          <w:lang w:val="en-US" w:eastAsia="zh-CN"/>
        </w:rPr>
        <w:t>采购</w:t>
      </w:r>
      <w:r>
        <w:rPr>
          <w:rFonts w:hint="eastAsia" w:ascii="宋体" w:hAnsi="宋体" w:eastAsia="宋体" w:cs="宋体"/>
          <w:sz w:val="21"/>
          <w:szCs w:val="21"/>
        </w:rPr>
        <w:t>文件发售费的，采购人将拒绝接受其响应文件（本项目文件发售费只接收现金）。</w:t>
      </w:r>
    </w:p>
    <w:p>
      <w:pPr>
        <w:keepNext/>
        <w:keepLines/>
        <w:spacing w:before="260" w:after="260" w:line="360" w:lineRule="auto"/>
        <w:outlineLvl w:val="1"/>
        <w:rPr>
          <w:rFonts w:hint="eastAsia" w:ascii="宋体" w:hAnsi="宋体" w:eastAsia="宋体" w:cs="宋体"/>
          <w:b/>
          <w:bCs w:val="0"/>
          <w:sz w:val="21"/>
          <w:szCs w:val="21"/>
        </w:rPr>
      </w:pPr>
      <w:r>
        <w:rPr>
          <w:rFonts w:hint="eastAsia" w:ascii="宋体" w:hAnsi="宋体" w:eastAsia="宋体" w:cs="宋体"/>
          <w:b/>
          <w:bCs w:val="0"/>
          <w:sz w:val="21"/>
          <w:szCs w:val="21"/>
        </w:rPr>
        <w:t>四、响应文件提交</w:t>
      </w:r>
      <w:bookmarkEnd w:id="24"/>
      <w:bookmarkEnd w:id="25"/>
      <w:bookmarkEnd w:id="26"/>
      <w:bookmarkEnd w:id="27"/>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截止时间：2024年</w:t>
      </w:r>
      <w:r>
        <w:rPr>
          <w:rFonts w:hint="eastAsia" w:ascii="宋体" w:hAnsi="宋体" w:eastAsia="宋体" w:cs="宋体"/>
          <w:sz w:val="21"/>
          <w:szCs w:val="21"/>
          <w:lang w:val="en-US" w:eastAsia="zh-CN"/>
        </w:rPr>
        <w:t>8</w:t>
      </w:r>
      <w:r>
        <w:rPr>
          <w:rFonts w:hint="eastAsia" w:ascii="宋体" w:hAnsi="宋体" w:eastAsia="宋体" w:cs="宋体"/>
          <w:sz w:val="21"/>
          <w:szCs w:val="21"/>
        </w:rPr>
        <w:t>月</w:t>
      </w:r>
      <w:r>
        <w:rPr>
          <w:rFonts w:hint="eastAsia" w:ascii="宋体" w:hAnsi="宋体" w:cs="宋体"/>
          <w:sz w:val="21"/>
          <w:szCs w:val="21"/>
          <w:lang w:val="en-US" w:eastAsia="zh-CN"/>
        </w:rPr>
        <w:t>12</w:t>
      </w:r>
      <w:r>
        <w:rPr>
          <w:rFonts w:hint="eastAsia" w:ascii="宋体" w:hAnsi="宋体" w:eastAsia="宋体" w:cs="宋体"/>
          <w:sz w:val="21"/>
          <w:szCs w:val="21"/>
        </w:rPr>
        <w:t>日1</w:t>
      </w:r>
      <w:r>
        <w:rPr>
          <w:rFonts w:hint="eastAsia" w:ascii="宋体" w:hAnsi="宋体" w:cs="宋体"/>
          <w:sz w:val="21"/>
          <w:szCs w:val="21"/>
          <w:lang w:val="en-US" w:eastAsia="zh-CN"/>
        </w:rPr>
        <w:t>1</w:t>
      </w:r>
      <w:bookmarkStart w:id="64" w:name="_GoBack"/>
      <w:bookmarkEnd w:id="64"/>
      <w:r>
        <w:rPr>
          <w:rFonts w:hint="eastAsia" w:ascii="宋体" w:hAnsi="宋体" w:eastAsia="宋体" w:cs="宋体"/>
          <w:sz w:val="21"/>
          <w:szCs w:val="21"/>
        </w:rPr>
        <w:t>点00分（迟于截止时间递交的响应文件，将不予接受）。</w:t>
      </w:r>
    </w:p>
    <w:p>
      <w:pPr>
        <w:spacing w:line="360" w:lineRule="auto"/>
        <w:ind w:firstLine="420" w:firstLineChars="200"/>
        <w:rPr>
          <w:rFonts w:hint="eastAsia" w:ascii="宋体" w:hAnsi="宋体" w:eastAsia="宋体" w:cs="宋体"/>
          <w:bCs/>
          <w:sz w:val="21"/>
          <w:szCs w:val="21"/>
          <w:u w:val="single"/>
        </w:rPr>
      </w:pPr>
      <w:r>
        <w:rPr>
          <w:rFonts w:hint="eastAsia" w:ascii="宋体" w:hAnsi="宋体" w:eastAsia="宋体" w:cs="宋体"/>
          <w:sz w:val="21"/>
          <w:szCs w:val="21"/>
        </w:rPr>
        <w:t xml:space="preserve">地点：界首市光武镇人民政府二楼会议室                            </w:t>
      </w:r>
    </w:p>
    <w:p>
      <w:pPr>
        <w:keepNext/>
        <w:keepLines/>
        <w:spacing w:before="260" w:after="260" w:line="360" w:lineRule="auto"/>
        <w:outlineLvl w:val="1"/>
        <w:rPr>
          <w:rFonts w:hint="eastAsia" w:ascii="宋体" w:hAnsi="宋体" w:eastAsia="宋体" w:cs="宋体"/>
          <w:b/>
          <w:bCs w:val="0"/>
          <w:sz w:val="21"/>
          <w:szCs w:val="21"/>
        </w:rPr>
      </w:pPr>
      <w:bookmarkStart w:id="28" w:name="_Toc35393633"/>
      <w:bookmarkStart w:id="29" w:name="_Toc35393802"/>
      <w:bookmarkStart w:id="30" w:name="_Toc28359093"/>
      <w:bookmarkStart w:id="31" w:name="_Toc28359016"/>
      <w:r>
        <w:rPr>
          <w:rFonts w:hint="eastAsia" w:ascii="宋体" w:hAnsi="宋体" w:eastAsia="宋体" w:cs="宋体"/>
          <w:b/>
          <w:bCs w:val="0"/>
          <w:sz w:val="21"/>
          <w:szCs w:val="21"/>
        </w:rPr>
        <w:t>五、开启</w:t>
      </w:r>
      <w:bookmarkEnd w:id="28"/>
      <w:bookmarkEnd w:id="29"/>
      <w:bookmarkEnd w:id="30"/>
      <w:bookmarkEnd w:id="31"/>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时间：同响应文件提交截止时间。</w:t>
      </w:r>
    </w:p>
    <w:p>
      <w:pPr>
        <w:spacing w:line="360" w:lineRule="auto"/>
        <w:ind w:firstLine="420" w:firstLineChars="200"/>
        <w:rPr>
          <w:rFonts w:hint="eastAsia" w:ascii="宋体" w:hAnsi="宋体" w:eastAsia="宋体" w:cs="宋体"/>
          <w:bCs/>
          <w:sz w:val="21"/>
          <w:szCs w:val="21"/>
          <w:u w:val="single"/>
        </w:rPr>
      </w:pPr>
      <w:r>
        <w:rPr>
          <w:rFonts w:hint="eastAsia" w:ascii="宋体" w:hAnsi="宋体" w:eastAsia="宋体" w:cs="宋体"/>
          <w:sz w:val="21"/>
          <w:szCs w:val="21"/>
        </w:rPr>
        <w:t xml:space="preserve">地点：同响应文件递交地点。                         </w:t>
      </w:r>
    </w:p>
    <w:p>
      <w:pPr>
        <w:keepNext/>
        <w:keepLines/>
        <w:spacing w:before="260" w:after="260" w:line="360" w:lineRule="auto"/>
        <w:outlineLvl w:val="1"/>
        <w:rPr>
          <w:rFonts w:hint="eastAsia" w:ascii="宋体" w:hAnsi="宋体" w:eastAsia="宋体" w:cs="宋体"/>
          <w:b/>
          <w:bCs w:val="0"/>
          <w:sz w:val="21"/>
          <w:szCs w:val="21"/>
        </w:rPr>
      </w:pPr>
      <w:bookmarkStart w:id="32" w:name="_Toc28359094"/>
      <w:bookmarkStart w:id="33" w:name="_Toc35393634"/>
      <w:bookmarkStart w:id="34" w:name="_Toc35393803"/>
      <w:bookmarkStart w:id="35" w:name="_Toc28359017"/>
      <w:r>
        <w:rPr>
          <w:rFonts w:hint="eastAsia" w:ascii="宋体" w:hAnsi="宋体" w:eastAsia="宋体" w:cs="宋体"/>
          <w:b/>
          <w:bCs w:val="0"/>
          <w:sz w:val="21"/>
          <w:szCs w:val="21"/>
        </w:rPr>
        <w:t>六、公告期限</w:t>
      </w:r>
      <w:bookmarkEnd w:id="32"/>
      <w:bookmarkEnd w:id="33"/>
      <w:bookmarkEnd w:id="34"/>
      <w:bookmarkEnd w:id="35"/>
    </w:p>
    <w:p>
      <w:pPr>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自本公告发布之日起3个工作日。</w:t>
      </w:r>
    </w:p>
    <w:p>
      <w:pPr>
        <w:keepNext/>
        <w:keepLines/>
        <w:spacing w:before="260" w:after="260" w:line="360" w:lineRule="auto"/>
        <w:outlineLvl w:val="1"/>
        <w:rPr>
          <w:rFonts w:hint="eastAsia" w:ascii="宋体" w:hAnsi="宋体" w:eastAsia="宋体" w:cs="宋体"/>
          <w:b/>
          <w:bCs w:val="0"/>
          <w:sz w:val="21"/>
          <w:szCs w:val="21"/>
        </w:rPr>
      </w:pPr>
      <w:bookmarkStart w:id="36" w:name="_Toc35393635"/>
      <w:bookmarkStart w:id="37" w:name="_Toc35393804"/>
      <w:r>
        <w:rPr>
          <w:rFonts w:hint="eastAsia" w:ascii="宋体" w:hAnsi="宋体" w:eastAsia="宋体" w:cs="宋体"/>
          <w:b/>
          <w:bCs w:val="0"/>
          <w:sz w:val="21"/>
          <w:szCs w:val="21"/>
        </w:rPr>
        <w:t>七、其他补充事宜</w:t>
      </w:r>
      <w:bookmarkEnd w:id="36"/>
      <w:bookmarkEnd w:id="37"/>
    </w:p>
    <w:p>
      <w:pPr>
        <w:keepNext/>
        <w:keepLines/>
        <w:spacing w:before="260" w:after="260" w:line="240" w:lineRule="auto"/>
        <w:ind w:firstLine="840" w:firstLineChars="400"/>
        <w:outlineLvl w:val="1"/>
        <w:rPr>
          <w:rFonts w:hint="eastAsia" w:ascii="宋体" w:hAnsi="宋体" w:eastAsia="宋体" w:cs="宋体"/>
          <w:sz w:val="21"/>
          <w:szCs w:val="21"/>
          <w:highlight w:val="none"/>
          <w:lang w:val="en-US" w:eastAsia="zh-CN"/>
        </w:rPr>
      </w:pPr>
      <w:bookmarkStart w:id="38" w:name="_Toc35393636"/>
      <w:bookmarkStart w:id="39" w:name="_Toc35393805"/>
      <w:bookmarkStart w:id="40" w:name="_Toc28359018"/>
      <w:bookmarkStart w:id="41" w:name="_Toc28359095"/>
      <w:r>
        <w:rPr>
          <w:rFonts w:hint="eastAsia" w:ascii="宋体" w:hAnsi="宋体" w:eastAsia="宋体" w:cs="宋体"/>
          <w:sz w:val="21"/>
          <w:szCs w:val="21"/>
          <w:highlight w:val="none"/>
          <w:lang w:val="en-US" w:eastAsia="zh-CN"/>
        </w:rPr>
        <w:t>无</w:t>
      </w:r>
    </w:p>
    <w:p>
      <w:pPr>
        <w:keepNext/>
        <w:keepLines/>
        <w:spacing w:before="260" w:after="260" w:line="360" w:lineRule="auto"/>
        <w:outlineLvl w:val="1"/>
        <w:rPr>
          <w:rFonts w:hint="eastAsia" w:ascii="宋体" w:hAnsi="宋体" w:eastAsia="宋体" w:cs="宋体"/>
          <w:b/>
          <w:bCs w:val="0"/>
          <w:sz w:val="21"/>
          <w:szCs w:val="21"/>
        </w:rPr>
      </w:pPr>
      <w:r>
        <w:rPr>
          <w:rFonts w:hint="eastAsia" w:ascii="宋体" w:hAnsi="宋体" w:eastAsia="宋体" w:cs="宋体"/>
          <w:b/>
          <w:bCs w:val="0"/>
          <w:sz w:val="21"/>
          <w:szCs w:val="21"/>
        </w:rPr>
        <w:t>八、凡对本次采购提出询问，请按以下方式联系。</w:t>
      </w:r>
      <w:bookmarkEnd w:id="38"/>
      <w:bookmarkEnd w:id="39"/>
      <w:bookmarkEnd w:id="40"/>
      <w:bookmarkEnd w:id="41"/>
    </w:p>
    <w:p>
      <w:pPr>
        <w:spacing w:line="360" w:lineRule="auto"/>
        <w:ind w:firstLine="420" w:firstLineChars="0"/>
        <w:jc w:val="left"/>
        <w:rPr>
          <w:rFonts w:hint="eastAsia" w:ascii="宋体" w:hAnsi="宋体" w:eastAsia="宋体" w:cs="宋体"/>
          <w:sz w:val="21"/>
          <w:szCs w:val="21"/>
        </w:rPr>
      </w:pPr>
      <w:r>
        <w:rPr>
          <w:rFonts w:hint="eastAsia" w:ascii="宋体" w:hAnsi="宋体" w:eastAsia="宋体" w:cs="宋体"/>
          <w:sz w:val="21"/>
          <w:szCs w:val="21"/>
        </w:rPr>
        <w:t>1.采购人信息</w:t>
      </w:r>
    </w:p>
    <w:p>
      <w:pPr>
        <w:spacing w:line="360" w:lineRule="auto"/>
        <w:ind w:firstLine="420" w:firstLineChars="0"/>
        <w:jc w:val="left"/>
        <w:rPr>
          <w:rFonts w:hint="eastAsia" w:ascii="宋体" w:hAnsi="宋体" w:eastAsia="宋体" w:cs="宋体"/>
          <w:sz w:val="21"/>
          <w:szCs w:val="21"/>
        </w:rPr>
      </w:pPr>
      <w:r>
        <w:rPr>
          <w:rFonts w:hint="eastAsia" w:ascii="宋体" w:hAnsi="宋体" w:eastAsia="宋体" w:cs="宋体"/>
          <w:sz w:val="21"/>
          <w:szCs w:val="21"/>
        </w:rPr>
        <w:t>名称：界首市光武镇人民政府</w:t>
      </w:r>
    </w:p>
    <w:p>
      <w:pPr>
        <w:spacing w:line="360" w:lineRule="auto"/>
        <w:ind w:firstLine="420" w:firstLineChars="0"/>
        <w:jc w:val="left"/>
        <w:rPr>
          <w:rFonts w:hint="eastAsia" w:ascii="宋体" w:hAnsi="宋体" w:eastAsia="宋体" w:cs="宋体"/>
          <w:sz w:val="21"/>
          <w:szCs w:val="21"/>
        </w:rPr>
      </w:pPr>
      <w:r>
        <w:rPr>
          <w:rFonts w:hint="eastAsia" w:ascii="宋体" w:hAnsi="宋体" w:eastAsia="宋体" w:cs="宋体"/>
          <w:sz w:val="21"/>
          <w:szCs w:val="21"/>
        </w:rPr>
        <w:t>地址：界首市光武镇</w:t>
      </w:r>
    </w:p>
    <w:p>
      <w:pPr>
        <w:spacing w:line="360" w:lineRule="auto"/>
        <w:ind w:firstLine="420" w:firstLineChars="0"/>
        <w:jc w:val="left"/>
        <w:rPr>
          <w:rFonts w:hint="default" w:ascii="宋体" w:hAnsi="宋体" w:eastAsia="宋体" w:cs="宋体"/>
          <w:sz w:val="21"/>
          <w:szCs w:val="21"/>
          <w:lang w:val="en-US" w:eastAsia="zh-CN"/>
        </w:rPr>
      </w:pPr>
      <w:r>
        <w:rPr>
          <w:rFonts w:hint="eastAsia" w:ascii="宋体" w:hAnsi="宋体" w:eastAsia="宋体" w:cs="宋体"/>
          <w:sz w:val="21"/>
          <w:szCs w:val="21"/>
        </w:rPr>
        <w:t>联系方式：</w:t>
      </w:r>
      <w:bookmarkStart w:id="42" w:name="_Toc28359086"/>
      <w:bookmarkStart w:id="43" w:name="_Toc28359009"/>
      <w:r>
        <w:rPr>
          <w:rFonts w:hint="eastAsia" w:ascii="宋体" w:hAnsi="宋体" w:cs="宋体"/>
          <w:sz w:val="21"/>
          <w:szCs w:val="21"/>
          <w:lang w:val="en-US" w:eastAsia="zh-CN"/>
        </w:rPr>
        <w:t>18855826618</w:t>
      </w:r>
    </w:p>
    <w:p>
      <w:pPr>
        <w:spacing w:line="360" w:lineRule="auto"/>
        <w:ind w:firstLine="420" w:firstLineChars="0"/>
        <w:jc w:val="left"/>
        <w:rPr>
          <w:rFonts w:hint="eastAsia" w:ascii="宋体" w:hAnsi="宋体" w:eastAsia="宋体" w:cs="宋体"/>
          <w:sz w:val="21"/>
          <w:szCs w:val="21"/>
        </w:rPr>
      </w:pPr>
      <w:r>
        <w:rPr>
          <w:rFonts w:hint="eastAsia" w:ascii="宋体" w:hAnsi="宋体" w:eastAsia="宋体" w:cs="宋体"/>
          <w:sz w:val="21"/>
          <w:szCs w:val="21"/>
        </w:rPr>
        <w:t>2.采购代理机构信息</w:t>
      </w:r>
      <w:bookmarkEnd w:id="42"/>
      <w:bookmarkEnd w:id="43"/>
    </w:p>
    <w:p>
      <w:pPr>
        <w:spacing w:line="360" w:lineRule="auto"/>
        <w:ind w:firstLine="420" w:firstLineChars="0"/>
        <w:jc w:val="left"/>
        <w:rPr>
          <w:rFonts w:hint="eastAsia" w:ascii="宋体" w:hAnsi="宋体" w:eastAsia="宋体" w:cs="宋体"/>
          <w:sz w:val="21"/>
          <w:szCs w:val="21"/>
        </w:rPr>
      </w:pPr>
      <w:r>
        <w:rPr>
          <w:rFonts w:hint="eastAsia" w:ascii="宋体" w:hAnsi="宋体" w:eastAsia="宋体" w:cs="宋体"/>
          <w:sz w:val="21"/>
          <w:szCs w:val="21"/>
        </w:rPr>
        <w:t xml:space="preserve">名称：安徽龙方工程咨询有限公司    </w:t>
      </w:r>
    </w:p>
    <w:p>
      <w:pPr>
        <w:spacing w:line="360" w:lineRule="auto"/>
        <w:ind w:firstLine="420" w:firstLineChars="0"/>
        <w:jc w:val="left"/>
        <w:rPr>
          <w:rFonts w:hint="eastAsia" w:ascii="宋体" w:hAnsi="宋体" w:eastAsia="宋体" w:cs="宋体"/>
          <w:sz w:val="21"/>
          <w:szCs w:val="21"/>
        </w:rPr>
      </w:pPr>
      <w:r>
        <w:rPr>
          <w:rFonts w:hint="eastAsia" w:ascii="宋体" w:hAnsi="宋体" w:eastAsia="宋体" w:cs="宋体"/>
          <w:sz w:val="21"/>
          <w:szCs w:val="21"/>
        </w:rPr>
        <w:t>地址：马鞍山市花山区汇金广场4栋1706室</w:t>
      </w:r>
    </w:p>
    <w:p>
      <w:pPr>
        <w:spacing w:line="360" w:lineRule="auto"/>
        <w:ind w:firstLine="420" w:firstLineChars="0"/>
        <w:jc w:val="left"/>
        <w:rPr>
          <w:rFonts w:hint="eastAsia" w:ascii="宋体" w:hAnsi="宋体" w:eastAsia="宋体" w:cs="宋体"/>
          <w:sz w:val="21"/>
          <w:szCs w:val="21"/>
          <w:u w:val="none"/>
          <w:lang w:val="en-US" w:eastAsia="zh-CN"/>
        </w:rPr>
      </w:pPr>
      <w:r>
        <w:rPr>
          <w:rFonts w:hint="eastAsia" w:ascii="宋体" w:hAnsi="宋体" w:eastAsia="宋体" w:cs="宋体"/>
          <w:sz w:val="21"/>
          <w:szCs w:val="21"/>
        </w:rPr>
        <w:t>联系方式：</w:t>
      </w:r>
      <w:bookmarkStart w:id="44" w:name="_Toc28359087"/>
      <w:bookmarkStart w:id="45" w:name="_Toc28359010"/>
      <w:r>
        <w:rPr>
          <w:rFonts w:hint="eastAsia" w:ascii="宋体" w:hAnsi="宋体" w:eastAsia="宋体" w:cs="宋体"/>
          <w:sz w:val="21"/>
          <w:szCs w:val="21"/>
          <w:u w:val="none"/>
          <w:lang w:val="en-US" w:eastAsia="zh-CN"/>
        </w:rPr>
        <w:t>17705586201</w:t>
      </w:r>
    </w:p>
    <w:p>
      <w:pPr>
        <w:spacing w:line="360" w:lineRule="auto"/>
        <w:ind w:firstLine="420" w:firstLineChars="0"/>
        <w:jc w:val="left"/>
        <w:rPr>
          <w:rFonts w:hint="eastAsia" w:ascii="宋体" w:hAnsi="宋体" w:eastAsia="宋体" w:cs="宋体"/>
          <w:sz w:val="21"/>
          <w:szCs w:val="21"/>
        </w:rPr>
      </w:pPr>
      <w:r>
        <w:rPr>
          <w:rFonts w:hint="eastAsia" w:ascii="宋体" w:hAnsi="宋体" w:eastAsia="宋体" w:cs="宋体"/>
          <w:sz w:val="21"/>
          <w:szCs w:val="21"/>
        </w:rPr>
        <w:t>3.项目联系方式</w:t>
      </w:r>
      <w:bookmarkEnd w:id="44"/>
      <w:bookmarkEnd w:id="45"/>
    </w:p>
    <w:p>
      <w:pPr>
        <w:spacing w:line="360" w:lineRule="auto"/>
        <w:ind w:firstLine="420" w:firstLineChars="0"/>
        <w:jc w:val="left"/>
        <w:rPr>
          <w:rFonts w:hint="eastAsia" w:ascii="宋体" w:hAnsi="宋体" w:eastAsia="宋体" w:cs="宋体"/>
          <w:sz w:val="21"/>
          <w:szCs w:val="21"/>
          <w:u w:val="none"/>
          <w:lang w:val="en-US" w:eastAsia="zh-CN"/>
        </w:rPr>
      </w:pPr>
      <w:r>
        <w:rPr>
          <w:rFonts w:hint="eastAsia" w:ascii="宋体" w:hAnsi="宋体" w:eastAsia="宋体" w:cs="宋体"/>
          <w:sz w:val="21"/>
          <w:szCs w:val="21"/>
        </w:rPr>
        <w:t>项目联系人：</w:t>
      </w:r>
      <w:r>
        <w:rPr>
          <w:rFonts w:hint="eastAsia" w:ascii="宋体" w:hAnsi="宋体" w:eastAsia="宋体" w:cs="宋体"/>
          <w:sz w:val="21"/>
          <w:szCs w:val="21"/>
          <w:u w:val="none"/>
          <w:lang w:val="en-US" w:eastAsia="zh-CN"/>
        </w:rPr>
        <w:t>张工</w:t>
      </w:r>
    </w:p>
    <w:p>
      <w:pPr>
        <w:spacing w:line="360" w:lineRule="auto"/>
        <w:ind w:firstLine="420" w:firstLineChars="0"/>
        <w:jc w:val="left"/>
        <w:rPr>
          <w:rFonts w:hint="eastAsia" w:ascii="宋体" w:hAnsi="宋体" w:eastAsia="宋体" w:cs="宋体"/>
          <w:sz w:val="21"/>
          <w:szCs w:val="21"/>
          <w:u w:val="single"/>
        </w:rPr>
      </w:pPr>
      <w:r>
        <w:rPr>
          <w:rFonts w:hint="eastAsia" w:ascii="宋体" w:hAnsi="宋体" w:eastAsia="宋体" w:cs="宋体"/>
          <w:sz w:val="21"/>
          <w:szCs w:val="21"/>
        </w:rPr>
        <w:t>电话：17705586201</w:t>
      </w:r>
    </w:p>
    <w:p>
      <w:pPr>
        <w:autoSpaceDE w:val="0"/>
        <w:autoSpaceDN w:val="0"/>
        <w:spacing w:line="360" w:lineRule="auto"/>
        <w:ind w:firstLine="630" w:firstLineChars="300"/>
        <w:jc w:val="left"/>
        <w:rPr>
          <w:rFonts w:hint="eastAsia" w:ascii="宋体" w:hAnsi="宋体"/>
          <w:u w:val="single"/>
        </w:rPr>
      </w:pPr>
      <w:r>
        <w:rPr>
          <w:rFonts w:ascii="宋体" w:hAnsi="宋体"/>
          <w:u w:val="single"/>
        </w:rPr>
        <w:br w:type="page"/>
      </w:r>
    </w:p>
    <w:p>
      <w:pPr>
        <w:pStyle w:val="6"/>
        <w:keepNext/>
        <w:keepLines/>
        <w:pageBreakBefore w:val="0"/>
        <w:widowControl w:val="0"/>
        <w:kinsoku/>
        <w:wordWrap/>
        <w:overflowPunct/>
        <w:topLinePunct w:val="0"/>
        <w:autoSpaceDE/>
        <w:autoSpaceDN/>
        <w:bidi w:val="0"/>
        <w:adjustRightInd/>
        <w:snapToGrid/>
        <w:spacing w:after="90" w:line="360" w:lineRule="auto"/>
        <w:jc w:val="center"/>
        <w:textAlignment w:val="auto"/>
        <w:rPr>
          <w:rFonts w:hint="eastAsia" w:ascii="Times New Roman" w:hAnsi="Times New Roman"/>
        </w:rPr>
      </w:pPr>
      <w:bookmarkStart w:id="46" w:name="_Toc694"/>
      <w:r>
        <w:rPr>
          <w:rFonts w:hint="eastAsia" w:ascii="Times New Roman" w:hAnsi="Times New Roman"/>
          <w:lang w:val="en-US" w:eastAsia="zh-CN"/>
        </w:rPr>
        <w:t xml:space="preserve">第二章 </w:t>
      </w:r>
      <w:r>
        <w:rPr>
          <w:rFonts w:hint="eastAsia" w:ascii="Times New Roman" w:hAnsi="Times New Roman"/>
        </w:rPr>
        <w:t>供应商须知</w:t>
      </w:r>
      <w:bookmarkEnd w:id="46"/>
    </w:p>
    <w:p>
      <w:pPr>
        <w:spacing w:line="360" w:lineRule="auto"/>
        <w:ind w:left="2943"/>
        <w:jc w:val="left"/>
        <w:outlineLvl w:val="1"/>
        <w:rPr>
          <w:rFonts w:hint="eastAsia" w:ascii="宋体" w:hAnsi="宋体" w:eastAsia="宋体" w:cs="宋体"/>
          <w:b/>
          <w:color w:val="000000"/>
          <w:sz w:val="24"/>
          <w:szCs w:val="24"/>
        </w:rPr>
      </w:pPr>
      <w:r>
        <w:rPr>
          <w:rFonts w:hint="eastAsia" w:ascii="宋体" w:hAnsi="宋体" w:eastAsia="宋体" w:cs="宋体"/>
          <w:b/>
          <w:color w:val="000000"/>
          <w:sz w:val="24"/>
          <w:szCs w:val="24"/>
        </w:rPr>
        <w:t>一、供应商须知前附表</w:t>
      </w:r>
    </w:p>
    <w:p>
      <w:pPr>
        <w:pStyle w:val="11"/>
        <w:spacing w:before="160" w:after="6" w:line="360" w:lineRule="auto"/>
        <w:ind w:left="574" w:right="496" w:firstLine="434"/>
        <w:rPr>
          <w:rFonts w:hint="eastAsia" w:ascii="宋体" w:hAnsi="宋体" w:eastAsia="宋体" w:cs="宋体"/>
          <w:b/>
          <w:sz w:val="21"/>
          <w:szCs w:val="21"/>
        </w:rPr>
      </w:pPr>
      <w:r>
        <w:rPr>
          <w:rFonts w:hint="eastAsia" w:ascii="宋体" w:hAnsi="宋体" w:eastAsia="宋体" w:cs="宋体"/>
          <w:b/>
          <w:sz w:val="21"/>
          <w:szCs w:val="21"/>
        </w:rPr>
        <w:t>注：</w:t>
      </w:r>
      <w:r>
        <w:rPr>
          <w:rFonts w:hint="eastAsia" w:ascii="宋体" w:hAnsi="宋体" w:eastAsia="宋体" w:cs="宋体"/>
          <w:sz w:val="21"/>
          <w:szCs w:val="21"/>
        </w:rPr>
        <w:t>本表是本项目的具体要求，是对供应商须知的具体补充和修改，如有不一致，以本表为准。</w:t>
      </w:r>
    </w:p>
    <w:tbl>
      <w:tblPr>
        <w:tblStyle w:val="1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3"/>
        <w:gridCol w:w="2026"/>
        <w:gridCol w:w="5468"/>
        <w:gridCol w:w="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3" w:type="dxa"/>
            <w:noWrap w:val="0"/>
            <w:vAlign w:val="center"/>
          </w:tcPr>
          <w:p>
            <w:pPr>
              <w:pStyle w:val="25"/>
              <w:spacing w:before="16" w:line="360" w:lineRule="auto"/>
              <w:ind w:left="118" w:right="111"/>
              <w:jc w:val="both"/>
              <w:rPr>
                <w:rFonts w:hint="eastAsia" w:ascii="宋体" w:hAnsi="宋体" w:eastAsia="宋体" w:cs="宋体"/>
                <w:b/>
                <w:sz w:val="21"/>
                <w:szCs w:val="21"/>
                <w:lang w:eastAsia="en-US"/>
              </w:rPr>
            </w:pPr>
            <w:r>
              <w:rPr>
                <w:rFonts w:hint="eastAsia" w:ascii="宋体" w:hAnsi="宋体" w:eastAsia="宋体" w:cs="宋体"/>
                <w:b/>
                <w:sz w:val="21"/>
                <w:szCs w:val="21"/>
                <w:lang w:eastAsia="en-US"/>
              </w:rPr>
              <w:t>条款号</w:t>
            </w:r>
          </w:p>
        </w:tc>
        <w:tc>
          <w:tcPr>
            <w:tcW w:w="2026" w:type="dxa"/>
            <w:noWrap w:val="0"/>
            <w:vAlign w:val="center"/>
          </w:tcPr>
          <w:p>
            <w:pPr>
              <w:pStyle w:val="25"/>
              <w:spacing w:before="16" w:line="360" w:lineRule="auto"/>
              <w:ind w:left="530"/>
              <w:jc w:val="both"/>
              <w:rPr>
                <w:rFonts w:hint="eastAsia" w:ascii="宋体" w:hAnsi="宋体" w:eastAsia="宋体" w:cs="宋体"/>
                <w:b/>
                <w:sz w:val="21"/>
                <w:szCs w:val="21"/>
                <w:lang w:eastAsia="en-US"/>
              </w:rPr>
            </w:pPr>
            <w:r>
              <w:rPr>
                <w:rFonts w:hint="eastAsia" w:ascii="宋体" w:hAnsi="宋体" w:eastAsia="宋体" w:cs="宋体"/>
                <w:b/>
                <w:sz w:val="21"/>
                <w:szCs w:val="21"/>
                <w:lang w:eastAsia="en-US"/>
              </w:rPr>
              <w:t>条款名称</w:t>
            </w:r>
          </w:p>
        </w:tc>
        <w:tc>
          <w:tcPr>
            <w:tcW w:w="5562" w:type="dxa"/>
            <w:gridSpan w:val="2"/>
            <w:noWrap w:val="0"/>
            <w:vAlign w:val="center"/>
          </w:tcPr>
          <w:p>
            <w:pPr>
              <w:pStyle w:val="25"/>
              <w:spacing w:before="16" w:line="360" w:lineRule="auto"/>
              <w:ind w:left="1769"/>
              <w:jc w:val="both"/>
              <w:rPr>
                <w:rFonts w:hint="eastAsia" w:ascii="宋体" w:hAnsi="宋体" w:eastAsia="宋体" w:cs="宋体"/>
                <w:b/>
                <w:sz w:val="21"/>
                <w:szCs w:val="21"/>
                <w:lang w:eastAsia="en-US"/>
              </w:rPr>
            </w:pPr>
            <w:r>
              <w:rPr>
                <w:rFonts w:hint="eastAsia" w:ascii="宋体" w:hAnsi="宋体" w:eastAsia="宋体" w:cs="宋体"/>
                <w:b/>
                <w:sz w:val="21"/>
                <w:szCs w:val="21"/>
                <w:lang w:eastAsia="en-US"/>
              </w:rPr>
              <w:t>内容、说明与要求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3" w:type="dxa"/>
            <w:noWrap w:val="0"/>
            <w:vAlign w:val="center"/>
          </w:tcPr>
          <w:p>
            <w:pPr>
              <w:pStyle w:val="25"/>
              <w:numPr>
                <w:ilvl w:val="0"/>
                <w:numId w:val="0"/>
              </w:numPr>
              <w:spacing w:before="19" w:line="360" w:lineRule="auto"/>
              <w:ind w:leftChars="0" w:right="109" w:righ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w:t>
            </w:r>
          </w:p>
        </w:tc>
        <w:tc>
          <w:tcPr>
            <w:tcW w:w="2026" w:type="dxa"/>
            <w:noWrap w:val="0"/>
            <w:vAlign w:val="center"/>
          </w:tcPr>
          <w:p>
            <w:pPr>
              <w:pStyle w:val="25"/>
              <w:spacing w:before="19" w:line="360" w:lineRule="auto"/>
              <w:ind w:left="107"/>
              <w:jc w:val="both"/>
              <w:rPr>
                <w:rFonts w:hint="eastAsia" w:ascii="宋体" w:hAnsi="宋体" w:eastAsia="宋体" w:cs="宋体"/>
                <w:sz w:val="21"/>
                <w:szCs w:val="21"/>
                <w:lang w:eastAsia="en-US"/>
              </w:rPr>
            </w:pPr>
            <w:r>
              <w:rPr>
                <w:rFonts w:hint="eastAsia" w:ascii="宋体" w:hAnsi="宋体" w:eastAsia="宋体" w:cs="宋体"/>
                <w:sz w:val="21"/>
                <w:szCs w:val="21"/>
                <w:lang w:eastAsia="en-US"/>
              </w:rPr>
              <w:t>采购人</w:t>
            </w:r>
          </w:p>
        </w:tc>
        <w:tc>
          <w:tcPr>
            <w:tcW w:w="5562" w:type="dxa"/>
            <w:gridSpan w:val="2"/>
            <w:noWrap w:val="0"/>
            <w:vAlign w:val="center"/>
          </w:tcPr>
          <w:p>
            <w:pPr>
              <w:pStyle w:val="25"/>
              <w:spacing w:before="19" w:line="360" w:lineRule="auto"/>
              <w:ind w:left="108"/>
              <w:jc w:val="left"/>
              <w:rPr>
                <w:rFonts w:hint="eastAsia" w:ascii="宋体" w:hAnsi="宋体" w:eastAsia="宋体" w:cs="宋体"/>
                <w:sz w:val="21"/>
                <w:szCs w:val="21"/>
              </w:rPr>
            </w:pPr>
            <w:r>
              <w:rPr>
                <w:rFonts w:hint="eastAsia" w:ascii="宋体" w:hAnsi="宋体" w:eastAsia="宋体" w:cs="宋体"/>
                <w:sz w:val="21"/>
                <w:szCs w:val="21"/>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1003" w:type="dxa"/>
            <w:noWrap w:val="0"/>
            <w:vAlign w:val="center"/>
          </w:tcPr>
          <w:p>
            <w:pPr>
              <w:pStyle w:val="25"/>
              <w:numPr>
                <w:ilvl w:val="0"/>
                <w:numId w:val="0"/>
              </w:numPr>
              <w:spacing w:before="19" w:line="360" w:lineRule="auto"/>
              <w:ind w:leftChars="0" w:right="109" w:righ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2.2</w:t>
            </w:r>
          </w:p>
        </w:tc>
        <w:tc>
          <w:tcPr>
            <w:tcW w:w="2026" w:type="dxa"/>
            <w:noWrap w:val="0"/>
            <w:vAlign w:val="center"/>
          </w:tcPr>
          <w:p>
            <w:pPr>
              <w:pStyle w:val="25"/>
              <w:spacing w:before="19" w:line="360" w:lineRule="auto"/>
              <w:ind w:left="107"/>
              <w:jc w:val="both"/>
              <w:rPr>
                <w:rFonts w:hint="eastAsia" w:ascii="宋体" w:hAnsi="宋体" w:eastAsia="宋体" w:cs="宋体"/>
                <w:sz w:val="21"/>
                <w:szCs w:val="21"/>
                <w:lang w:eastAsia="en-US"/>
              </w:rPr>
            </w:pPr>
            <w:r>
              <w:rPr>
                <w:rFonts w:hint="eastAsia" w:ascii="宋体" w:hAnsi="宋体" w:eastAsia="宋体" w:cs="宋体"/>
                <w:sz w:val="21"/>
                <w:szCs w:val="21"/>
                <w:lang w:eastAsia="en-US"/>
              </w:rPr>
              <w:t>采购代理机构</w:t>
            </w:r>
          </w:p>
        </w:tc>
        <w:tc>
          <w:tcPr>
            <w:tcW w:w="5562" w:type="dxa"/>
            <w:gridSpan w:val="2"/>
            <w:noWrap w:val="0"/>
            <w:vAlign w:val="center"/>
          </w:tcPr>
          <w:p>
            <w:pPr>
              <w:pStyle w:val="25"/>
              <w:spacing w:before="19" w:line="360" w:lineRule="auto"/>
              <w:ind w:left="108"/>
              <w:jc w:val="left"/>
              <w:rPr>
                <w:rFonts w:hint="eastAsia" w:ascii="宋体" w:hAnsi="宋体" w:eastAsia="宋体" w:cs="宋体"/>
                <w:sz w:val="21"/>
                <w:szCs w:val="21"/>
                <w:lang w:eastAsia="en-US"/>
              </w:rPr>
            </w:pPr>
            <w:r>
              <w:rPr>
                <w:rFonts w:hint="eastAsia" w:ascii="宋体" w:hAnsi="宋体" w:eastAsia="宋体" w:cs="宋体"/>
                <w:sz w:val="21"/>
                <w:szCs w:val="21"/>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4" w:hRule="atLeast"/>
        </w:trPr>
        <w:tc>
          <w:tcPr>
            <w:tcW w:w="1003" w:type="dxa"/>
            <w:noWrap w:val="0"/>
            <w:vAlign w:val="center"/>
          </w:tcPr>
          <w:p>
            <w:pPr>
              <w:pStyle w:val="25"/>
              <w:numPr>
                <w:ilvl w:val="0"/>
                <w:numId w:val="0"/>
              </w:numPr>
              <w:spacing w:line="360" w:lineRule="auto"/>
              <w:ind w:leftChars="0" w:right="109" w:righ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2.3</w:t>
            </w:r>
          </w:p>
        </w:tc>
        <w:tc>
          <w:tcPr>
            <w:tcW w:w="2026" w:type="dxa"/>
            <w:noWrap w:val="0"/>
            <w:vAlign w:val="center"/>
          </w:tcPr>
          <w:p>
            <w:pPr>
              <w:autoSpaceDE w:val="0"/>
              <w:autoSpaceDN w:val="0"/>
              <w:spacing w:line="360" w:lineRule="auto"/>
              <w:rPr>
                <w:rFonts w:hint="eastAsia" w:ascii="宋体" w:hAnsi="宋体" w:eastAsia="宋体" w:cs="宋体"/>
                <w:kern w:val="0"/>
                <w:sz w:val="21"/>
                <w:szCs w:val="21"/>
                <w:lang w:val="zh-CN" w:eastAsia="en-US" w:bidi="zh-CN"/>
              </w:rPr>
            </w:pPr>
            <w:r>
              <w:rPr>
                <w:rFonts w:hint="eastAsia" w:ascii="宋体" w:hAnsi="宋体" w:eastAsia="宋体" w:cs="宋体"/>
                <w:kern w:val="0"/>
                <w:sz w:val="21"/>
                <w:szCs w:val="21"/>
                <w:lang w:val="zh-CN" w:eastAsia="en-US" w:bidi="zh-CN"/>
              </w:rPr>
              <w:t>供应商质疑截止时间</w:t>
            </w:r>
          </w:p>
        </w:tc>
        <w:tc>
          <w:tcPr>
            <w:tcW w:w="5562" w:type="dxa"/>
            <w:gridSpan w:val="2"/>
            <w:noWrap w:val="0"/>
            <w:vAlign w:val="center"/>
          </w:tcPr>
          <w:p>
            <w:pPr>
              <w:autoSpaceDE/>
              <w:autoSpaceDN/>
              <w:spacing w:line="360" w:lineRule="auto"/>
              <w:jc w:val="both"/>
              <w:rPr>
                <w:rFonts w:hint="eastAsia" w:ascii="宋体" w:hAnsi="宋体" w:eastAsia="宋体" w:cs="宋体"/>
                <w:kern w:val="0"/>
                <w:sz w:val="21"/>
                <w:szCs w:val="21"/>
                <w:lang w:val="en-US" w:eastAsia="en-US" w:bidi="zh-CN"/>
              </w:rPr>
            </w:pPr>
            <w:r>
              <w:rPr>
                <w:rFonts w:hint="eastAsia" w:ascii="宋体" w:hAnsi="宋体" w:eastAsia="宋体" w:cs="宋体"/>
                <w:kern w:val="0"/>
                <w:sz w:val="21"/>
                <w:szCs w:val="21"/>
                <w:lang w:val="en-US" w:eastAsia="en-US" w:bidi="zh-CN"/>
              </w:rPr>
              <w:t>1、</w:t>
            </w:r>
            <w:r>
              <w:rPr>
                <w:rFonts w:hint="eastAsia" w:ascii="宋体" w:hAnsi="宋体" w:eastAsia="宋体" w:cs="宋体"/>
                <w:kern w:val="0"/>
                <w:sz w:val="21"/>
                <w:szCs w:val="21"/>
                <w:lang w:val="zh-CN" w:eastAsia="en-US" w:bidi="zh-CN"/>
              </w:rPr>
              <w:t>响应截止时间</w:t>
            </w:r>
            <w:r>
              <w:rPr>
                <w:rFonts w:hint="eastAsia" w:ascii="宋体" w:hAnsi="宋体" w:eastAsia="宋体" w:cs="宋体"/>
                <w:kern w:val="0"/>
                <w:sz w:val="21"/>
                <w:szCs w:val="21"/>
                <w:lang w:val="en-US" w:eastAsia="en-US" w:bidi="zh-CN"/>
              </w:rPr>
              <w:t>2</w:t>
            </w:r>
            <w:r>
              <w:rPr>
                <w:rFonts w:hint="eastAsia" w:ascii="宋体" w:hAnsi="宋体" w:eastAsia="宋体" w:cs="宋体"/>
                <w:kern w:val="0"/>
                <w:sz w:val="21"/>
                <w:szCs w:val="21"/>
                <w:lang w:val="zh-CN" w:eastAsia="en-US" w:bidi="zh-CN"/>
              </w:rPr>
              <w:t>天前。</w:t>
            </w:r>
          </w:p>
          <w:p>
            <w:pPr>
              <w:autoSpaceDE/>
              <w:autoSpaceDN/>
              <w:spacing w:line="360" w:lineRule="auto"/>
              <w:jc w:val="both"/>
              <w:rPr>
                <w:rFonts w:hint="eastAsia" w:ascii="宋体" w:hAnsi="宋体" w:eastAsia="宋体" w:cs="宋体"/>
                <w:kern w:val="0"/>
                <w:sz w:val="21"/>
                <w:szCs w:val="21"/>
                <w:lang w:val="en-US" w:eastAsia="en-US" w:bidi="zh-CN"/>
              </w:rPr>
            </w:pPr>
            <w:r>
              <w:rPr>
                <w:rFonts w:hint="eastAsia" w:ascii="宋体" w:hAnsi="宋体" w:eastAsia="宋体" w:cs="宋体"/>
                <w:kern w:val="0"/>
                <w:sz w:val="21"/>
                <w:szCs w:val="21"/>
                <w:lang w:val="zh-CN" w:eastAsia="en-US" w:bidi="zh-CN"/>
              </w:rPr>
              <w:t>接受异议的电子邮箱</w:t>
            </w:r>
            <w:r>
              <w:rPr>
                <w:rFonts w:hint="eastAsia" w:ascii="宋体" w:hAnsi="宋体" w:eastAsia="宋体" w:cs="宋体"/>
                <w:kern w:val="0"/>
                <w:sz w:val="21"/>
                <w:szCs w:val="21"/>
                <w:lang w:val="en-US" w:eastAsia="en-US" w:bidi="zh-CN"/>
              </w:rPr>
              <w:t xml:space="preserve">：930495096@qq.com      </w:t>
            </w:r>
          </w:p>
          <w:p>
            <w:pPr>
              <w:autoSpaceDE/>
              <w:autoSpaceDN/>
              <w:spacing w:line="360" w:lineRule="auto"/>
              <w:jc w:val="both"/>
              <w:rPr>
                <w:rFonts w:hint="eastAsia" w:ascii="宋体" w:hAnsi="宋体" w:eastAsia="宋体" w:cs="宋体"/>
                <w:kern w:val="0"/>
                <w:sz w:val="21"/>
                <w:szCs w:val="21"/>
                <w:lang w:val="en-US" w:eastAsia="zh-CN" w:bidi="zh-CN"/>
              </w:rPr>
            </w:pPr>
            <w:r>
              <w:rPr>
                <w:rFonts w:hint="eastAsia" w:ascii="宋体" w:hAnsi="宋体" w:eastAsia="宋体" w:cs="宋体"/>
                <w:kern w:val="0"/>
                <w:sz w:val="21"/>
                <w:szCs w:val="21"/>
                <w:lang w:val="en-US" w:eastAsia="zh-CN" w:bidi="zh-CN"/>
              </w:rPr>
              <w:t>特别提示：提出质疑时须注明项目名称及项目编号。</w:t>
            </w:r>
          </w:p>
          <w:p>
            <w:pPr>
              <w:autoSpaceDE/>
              <w:autoSpaceDN/>
              <w:spacing w:line="360" w:lineRule="auto"/>
              <w:jc w:val="both"/>
              <w:rPr>
                <w:rFonts w:hint="eastAsia" w:ascii="宋体" w:hAnsi="宋体" w:eastAsia="宋体" w:cs="宋体"/>
                <w:kern w:val="0"/>
                <w:sz w:val="21"/>
                <w:szCs w:val="21"/>
                <w:lang w:val="zh-CN" w:eastAsia="en-US" w:bidi="zh-CN"/>
              </w:rPr>
            </w:pPr>
            <w:r>
              <w:rPr>
                <w:rFonts w:hint="eastAsia" w:ascii="宋体" w:hAnsi="宋体" w:eastAsia="宋体" w:cs="宋体"/>
                <w:kern w:val="0"/>
                <w:sz w:val="21"/>
                <w:szCs w:val="21"/>
                <w:lang w:val="en-US" w:eastAsia="zh-CN" w:bidi="zh-CN"/>
              </w:rPr>
              <w:t>2、</w:t>
            </w:r>
            <w:r>
              <w:rPr>
                <w:rFonts w:hint="eastAsia" w:ascii="宋体" w:hAnsi="宋体" w:eastAsia="宋体" w:cs="宋体"/>
                <w:kern w:val="0"/>
                <w:sz w:val="21"/>
                <w:szCs w:val="21"/>
                <w:lang w:val="en-US" w:eastAsia="en-US" w:bidi="zh-CN"/>
              </w:rPr>
              <w:t>询问答复及澄清或修改</w:t>
            </w:r>
            <w:r>
              <w:rPr>
                <w:rFonts w:hint="eastAsia" w:ascii="宋体" w:hAnsi="宋体" w:eastAsia="宋体" w:cs="宋体"/>
                <w:kern w:val="0"/>
                <w:sz w:val="21"/>
                <w:szCs w:val="21"/>
                <w:lang w:val="en-US" w:eastAsia="zh-CN" w:bidi="zh-CN"/>
              </w:rPr>
              <w:t>：在</w:t>
            </w:r>
            <w:r>
              <w:rPr>
                <w:rFonts w:hint="eastAsia" w:ascii="宋体" w:hAnsi="宋体" w:eastAsia="宋体" w:cs="宋体"/>
                <w:kern w:val="0"/>
                <w:sz w:val="21"/>
                <w:szCs w:val="21"/>
                <w:lang w:val="zh-CN" w:eastAsia="en-US" w:bidi="zh-CN"/>
              </w:rPr>
              <w:t>《界首市人民政府》、《</w:t>
            </w:r>
            <w:r>
              <w:rPr>
                <w:rFonts w:hint="eastAsia" w:ascii="宋体" w:hAnsi="宋体" w:eastAsia="宋体" w:cs="宋体"/>
                <w:kern w:val="0"/>
                <w:sz w:val="21"/>
                <w:szCs w:val="21"/>
                <w:lang w:val="en-US" w:eastAsia="en-US" w:bidi="zh-CN"/>
              </w:rPr>
              <w:t>农业全程网》网站发布，采购人不再另行通知。该答复内容及澄清或修改内容为采购文件的组成部分，对供应商具有同样约束力效力。（所有潜在供应商在响应文件提交截止时间前有义务自行查询，澄清、修改及答疑回复视为全部知晓，无需回复确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77" w:hRule="atLeast"/>
        </w:trPr>
        <w:tc>
          <w:tcPr>
            <w:tcW w:w="1003" w:type="dxa"/>
            <w:noWrap w:val="0"/>
            <w:vAlign w:val="center"/>
          </w:tcPr>
          <w:p>
            <w:pPr>
              <w:pStyle w:val="25"/>
              <w:numPr>
                <w:ilvl w:val="0"/>
                <w:numId w:val="0"/>
              </w:numPr>
              <w:spacing w:line="360" w:lineRule="auto"/>
              <w:ind w:leftChars="0" w:right="109" w:righ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2.4</w:t>
            </w:r>
          </w:p>
        </w:tc>
        <w:tc>
          <w:tcPr>
            <w:tcW w:w="2026" w:type="dxa"/>
            <w:noWrap w:val="0"/>
            <w:vAlign w:val="center"/>
          </w:tcPr>
          <w:p>
            <w:pPr>
              <w:pStyle w:val="25"/>
              <w:spacing w:before="4" w:line="360" w:lineRule="auto"/>
              <w:jc w:val="both"/>
              <w:rPr>
                <w:rFonts w:hint="eastAsia" w:ascii="宋体" w:hAnsi="宋体" w:eastAsia="宋体" w:cs="宋体"/>
                <w:sz w:val="21"/>
                <w:szCs w:val="21"/>
                <w:lang w:eastAsia="en-US"/>
              </w:rPr>
            </w:pPr>
          </w:p>
          <w:p>
            <w:pPr>
              <w:pStyle w:val="25"/>
              <w:spacing w:line="360" w:lineRule="auto"/>
              <w:ind w:left="107"/>
              <w:jc w:val="both"/>
              <w:rPr>
                <w:rFonts w:hint="eastAsia" w:ascii="宋体" w:hAnsi="宋体" w:eastAsia="宋体" w:cs="宋体"/>
                <w:sz w:val="21"/>
                <w:szCs w:val="21"/>
                <w:lang w:eastAsia="en-US"/>
              </w:rPr>
            </w:pPr>
            <w:r>
              <w:rPr>
                <w:rFonts w:hint="eastAsia" w:ascii="宋体" w:hAnsi="宋体" w:eastAsia="宋体" w:cs="宋体"/>
                <w:sz w:val="21"/>
                <w:szCs w:val="21"/>
                <w:lang w:eastAsia="en-US"/>
              </w:rPr>
              <w:t>包别划分</w:t>
            </w:r>
          </w:p>
        </w:tc>
        <w:tc>
          <w:tcPr>
            <w:tcW w:w="5562" w:type="dxa"/>
            <w:gridSpan w:val="2"/>
            <w:noWrap w:val="0"/>
            <w:vAlign w:val="center"/>
          </w:tcPr>
          <w:p>
            <w:pPr>
              <w:pStyle w:val="25"/>
              <w:tabs>
                <w:tab w:val="left" w:pos="5415"/>
              </w:tabs>
              <w:spacing w:before="161" w:line="360" w:lineRule="auto"/>
              <w:ind w:left="108"/>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不分包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52" w:hRule="atLeast"/>
        </w:trPr>
        <w:tc>
          <w:tcPr>
            <w:tcW w:w="1003" w:type="dxa"/>
            <w:noWrap w:val="0"/>
            <w:vAlign w:val="center"/>
          </w:tcPr>
          <w:p>
            <w:pPr>
              <w:numPr>
                <w:ilvl w:val="0"/>
                <w:numId w:val="0"/>
              </w:numPr>
              <w:autoSpaceDE w:val="0"/>
              <w:autoSpaceDN w:val="0"/>
              <w:spacing w:line="360" w:lineRule="auto"/>
              <w:ind w:leftChars="0"/>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2.5</w:t>
            </w:r>
          </w:p>
        </w:tc>
        <w:tc>
          <w:tcPr>
            <w:tcW w:w="2026" w:type="dxa"/>
            <w:noWrap w:val="0"/>
            <w:vAlign w:val="center"/>
          </w:tcPr>
          <w:p>
            <w:pPr>
              <w:pStyle w:val="25"/>
              <w:spacing w:line="360" w:lineRule="auto"/>
              <w:jc w:val="both"/>
              <w:rPr>
                <w:rFonts w:hint="eastAsia" w:ascii="宋体" w:hAnsi="宋体" w:eastAsia="宋体" w:cs="宋体"/>
                <w:sz w:val="21"/>
                <w:szCs w:val="21"/>
                <w:lang w:eastAsia="en-US"/>
              </w:rPr>
            </w:pPr>
            <w:r>
              <w:rPr>
                <w:rFonts w:hint="eastAsia" w:ascii="宋体" w:hAnsi="宋体" w:eastAsia="宋体" w:cs="宋体"/>
                <w:sz w:val="21"/>
                <w:szCs w:val="21"/>
                <w:lang w:eastAsia="en-US"/>
              </w:rPr>
              <w:t>磋商保证金</w:t>
            </w:r>
          </w:p>
        </w:tc>
        <w:tc>
          <w:tcPr>
            <w:tcW w:w="5562" w:type="dxa"/>
            <w:gridSpan w:val="2"/>
            <w:noWrap w:val="0"/>
            <w:vAlign w:val="center"/>
          </w:tcPr>
          <w:p>
            <w:pPr>
              <w:pStyle w:val="2"/>
              <w:ind w:left="0" w:leftChars="0" w:firstLine="0" w:firstLineChars="0"/>
              <w:rPr>
                <w:rFonts w:hint="eastAsia" w:ascii="宋体" w:hAnsi="宋体" w:eastAsia="宋体" w:cs="宋体"/>
                <w:b/>
                <w:bCs/>
                <w:sz w:val="21"/>
                <w:szCs w:val="21"/>
                <w:lang w:val="zh-CN" w:eastAsia="zh-CN" w:bidi="zh-CN"/>
              </w:rPr>
            </w:pPr>
            <w:r>
              <w:rPr>
                <w:rFonts w:hint="eastAsia" w:ascii="宋体" w:hAnsi="宋体" w:eastAsia="宋体" w:cs="宋体"/>
                <w:b/>
                <w:bCs/>
                <w:sz w:val="21"/>
                <w:szCs w:val="21"/>
                <w:lang w:val="zh-CN" w:eastAsia="zh-CN" w:bidi="zh-CN"/>
              </w:rPr>
              <w:t xml:space="preserve">形式：现金 </w:t>
            </w:r>
          </w:p>
          <w:p>
            <w:pPr>
              <w:pStyle w:val="2"/>
              <w:ind w:left="0" w:leftChars="0" w:firstLine="0" w:firstLineChars="0"/>
              <w:rPr>
                <w:rFonts w:hint="eastAsia" w:ascii="宋体" w:hAnsi="宋体" w:eastAsia="宋体" w:cs="宋体"/>
                <w:b/>
                <w:bCs/>
                <w:sz w:val="21"/>
                <w:szCs w:val="21"/>
                <w:lang w:val="zh-CN" w:eastAsia="en-US" w:bidi="zh-CN"/>
              </w:rPr>
            </w:pPr>
            <w:r>
              <w:rPr>
                <w:rFonts w:hint="eastAsia" w:ascii="宋体" w:hAnsi="宋体" w:eastAsia="宋体" w:cs="宋体"/>
                <w:b/>
                <w:bCs/>
                <w:sz w:val="21"/>
                <w:szCs w:val="21"/>
                <w:lang w:val="zh-CN" w:eastAsia="en-US" w:bidi="zh-CN"/>
              </w:rPr>
              <w:t>金额：人民币</w:t>
            </w:r>
            <w:r>
              <w:rPr>
                <w:rFonts w:hint="eastAsia" w:ascii="宋体" w:hAnsi="宋体" w:eastAsia="宋体" w:cs="宋体"/>
                <w:b/>
                <w:bCs/>
                <w:sz w:val="21"/>
                <w:szCs w:val="21"/>
                <w:lang w:val="en-US" w:eastAsia="zh-CN" w:bidi="zh-CN"/>
              </w:rPr>
              <w:t>肆仟</w:t>
            </w:r>
            <w:r>
              <w:rPr>
                <w:rFonts w:hint="eastAsia" w:ascii="宋体" w:hAnsi="宋体" w:eastAsia="宋体" w:cs="宋体"/>
                <w:b/>
                <w:bCs/>
                <w:sz w:val="21"/>
                <w:szCs w:val="21"/>
                <w:lang w:val="zh-CN" w:eastAsia="en-US" w:bidi="zh-CN"/>
              </w:rPr>
              <w:t>圆整 （￥</w:t>
            </w:r>
            <w:r>
              <w:rPr>
                <w:rFonts w:hint="eastAsia" w:ascii="宋体" w:hAnsi="宋体" w:eastAsia="宋体" w:cs="宋体"/>
                <w:b/>
                <w:bCs/>
                <w:sz w:val="21"/>
                <w:szCs w:val="21"/>
                <w:lang w:val="en-US" w:eastAsia="zh-CN" w:bidi="zh-CN"/>
              </w:rPr>
              <w:t>4000.00</w:t>
            </w:r>
            <w:r>
              <w:rPr>
                <w:rFonts w:hint="eastAsia" w:ascii="宋体" w:hAnsi="宋体" w:eastAsia="宋体" w:cs="宋体"/>
                <w:b/>
                <w:bCs/>
                <w:sz w:val="21"/>
                <w:szCs w:val="21"/>
                <w:lang w:val="zh-CN" w:eastAsia="en-US" w:bidi="zh-CN"/>
              </w:rPr>
              <w:t>元）</w:t>
            </w:r>
          </w:p>
          <w:p>
            <w:pPr>
              <w:spacing w:line="360" w:lineRule="auto"/>
              <w:outlineLvl w:val="2"/>
              <w:rPr>
                <w:rFonts w:hint="eastAsia" w:ascii="宋体" w:hAnsi="宋体" w:eastAsia="宋体" w:cs="宋体"/>
                <w:b/>
                <w:bCs/>
                <w:sz w:val="21"/>
                <w:szCs w:val="21"/>
                <w:lang w:val="zh-CN" w:eastAsia="en-US" w:bidi="zh-CN"/>
              </w:rPr>
            </w:pPr>
            <w:r>
              <w:rPr>
                <w:rFonts w:hint="eastAsia" w:ascii="宋体" w:hAnsi="宋体" w:eastAsia="宋体" w:cs="宋体"/>
                <w:b/>
                <w:bCs/>
                <w:sz w:val="21"/>
                <w:szCs w:val="21"/>
                <w:lang w:val="en-US" w:eastAsia="zh-CN" w:bidi="zh-CN"/>
              </w:rPr>
              <w:t>各投标</w:t>
            </w:r>
            <w:r>
              <w:rPr>
                <w:rFonts w:hint="eastAsia" w:ascii="宋体" w:hAnsi="宋体" w:eastAsia="宋体" w:cs="宋体"/>
                <w:b/>
                <w:bCs/>
                <w:sz w:val="21"/>
                <w:szCs w:val="21"/>
                <w:lang w:val="zh-CN" w:eastAsia="en-US" w:bidi="zh-CN"/>
              </w:rPr>
              <w:t>单位</w:t>
            </w:r>
            <w:r>
              <w:rPr>
                <w:rFonts w:hint="eastAsia" w:ascii="宋体" w:hAnsi="宋体" w:eastAsia="宋体" w:cs="宋体"/>
                <w:b/>
                <w:bCs/>
                <w:sz w:val="21"/>
                <w:szCs w:val="21"/>
                <w:lang w:val="en-US" w:eastAsia="zh-CN" w:bidi="zh-CN"/>
              </w:rPr>
              <w:t>磋商</w:t>
            </w:r>
            <w:r>
              <w:rPr>
                <w:rFonts w:hint="eastAsia" w:ascii="宋体" w:hAnsi="宋体" w:eastAsia="宋体" w:cs="宋体"/>
                <w:b/>
                <w:bCs/>
                <w:sz w:val="21"/>
                <w:szCs w:val="21"/>
                <w:lang w:val="zh-CN" w:eastAsia="en-US" w:bidi="zh-CN"/>
              </w:rPr>
              <w:t>保证金在</w:t>
            </w:r>
            <w:r>
              <w:rPr>
                <w:rFonts w:hint="eastAsia" w:ascii="宋体" w:hAnsi="宋体" w:eastAsia="宋体" w:cs="宋体"/>
                <w:b/>
                <w:bCs/>
                <w:sz w:val="21"/>
                <w:szCs w:val="21"/>
                <w:lang w:val="en-US" w:eastAsia="zh-CN" w:bidi="zh-CN"/>
              </w:rPr>
              <w:t>开标前</w:t>
            </w:r>
            <w:r>
              <w:rPr>
                <w:rFonts w:hint="eastAsia" w:ascii="宋体" w:hAnsi="宋体" w:eastAsia="宋体" w:cs="宋体"/>
                <w:b/>
                <w:bCs/>
                <w:sz w:val="21"/>
                <w:szCs w:val="21"/>
                <w:lang w:val="zh-CN" w:eastAsia="en-US" w:bidi="zh-CN"/>
              </w:rPr>
              <w:t>现场递交，</w:t>
            </w:r>
            <w:r>
              <w:rPr>
                <w:rFonts w:hint="eastAsia" w:ascii="宋体" w:hAnsi="宋体" w:eastAsia="宋体" w:cs="宋体"/>
                <w:b/>
                <w:bCs/>
                <w:sz w:val="21"/>
                <w:szCs w:val="21"/>
                <w:lang w:val="en-US" w:eastAsia="zh-CN" w:bidi="zh-CN"/>
              </w:rPr>
              <w:t>评标结束后，未中标的磋商保证金现场退还，</w:t>
            </w:r>
            <w:r>
              <w:rPr>
                <w:rFonts w:hint="eastAsia" w:ascii="宋体" w:hAnsi="宋体" w:eastAsia="宋体" w:cs="宋体"/>
                <w:b/>
                <w:bCs/>
                <w:sz w:val="21"/>
                <w:szCs w:val="21"/>
                <w:lang w:val="zh-CN" w:eastAsia="en-US" w:bidi="zh-CN"/>
              </w:rPr>
              <w:t>成交单位的</w:t>
            </w:r>
            <w:r>
              <w:rPr>
                <w:rFonts w:hint="eastAsia" w:ascii="宋体" w:hAnsi="宋体" w:eastAsia="宋体" w:cs="宋体"/>
                <w:b/>
                <w:bCs/>
                <w:sz w:val="21"/>
                <w:szCs w:val="21"/>
                <w:lang w:val="en-US" w:eastAsia="zh-CN" w:bidi="zh-CN"/>
              </w:rPr>
              <w:t>磋商</w:t>
            </w:r>
            <w:r>
              <w:rPr>
                <w:rFonts w:hint="eastAsia" w:ascii="宋体" w:hAnsi="宋体" w:eastAsia="宋体" w:cs="宋体"/>
                <w:b/>
                <w:bCs/>
                <w:sz w:val="21"/>
                <w:szCs w:val="21"/>
                <w:lang w:val="zh-CN" w:eastAsia="en-US" w:bidi="zh-CN"/>
              </w:rPr>
              <w:t>保证金由采购人委托代理机构保管。</w:t>
            </w:r>
          </w:p>
          <w:p>
            <w:pPr>
              <w:pStyle w:val="25"/>
              <w:spacing w:line="360" w:lineRule="auto"/>
              <w:ind w:left="108"/>
              <w:jc w:val="both"/>
              <w:rPr>
                <w:rFonts w:hint="eastAsia" w:ascii="宋体" w:hAnsi="宋体" w:eastAsia="宋体" w:cs="宋体"/>
                <w:sz w:val="21"/>
                <w:szCs w:val="21"/>
                <w:lang w:eastAsia="en-US"/>
              </w:rPr>
            </w:pPr>
            <w:r>
              <w:rPr>
                <w:rFonts w:hint="eastAsia" w:ascii="宋体" w:hAnsi="宋体" w:eastAsia="宋体" w:cs="宋体"/>
                <w:b/>
                <w:bCs/>
                <w:sz w:val="21"/>
                <w:szCs w:val="21"/>
                <w:lang w:val="zh-CN" w:eastAsia="en-US" w:bidi="zh-CN"/>
              </w:rPr>
              <w:t>备注：成交单位的</w:t>
            </w:r>
            <w:r>
              <w:rPr>
                <w:rFonts w:hint="eastAsia" w:ascii="宋体" w:hAnsi="宋体" w:eastAsia="宋体" w:cs="宋体"/>
                <w:b/>
                <w:bCs/>
                <w:sz w:val="21"/>
                <w:szCs w:val="21"/>
                <w:lang w:val="en-US" w:eastAsia="en-US" w:bidi="zh-CN"/>
              </w:rPr>
              <w:t>磋商</w:t>
            </w:r>
            <w:r>
              <w:rPr>
                <w:rFonts w:hint="eastAsia" w:ascii="宋体" w:hAnsi="宋体" w:eastAsia="宋体" w:cs="宋体"/>
                <w:b/>
                <w:bCs/>
                <w:sz w:val="21"/>
                <w:szCs w:val="21"/>
                <w:lang w:val="zh-CN" w:eastAsia="en-US" w:bidi="zh-CN"/>
              </w:rPr>
              <w:t>保证金成交结果公示期结束无异议、书面合同签订后3个工作日内退还。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1" w:hRule="atLeast"/>
        </w:trPr>
        <w:tc>
          <w:tcPr>
            <w:tcW w:w="1003" w:type="dxa"/>
            <w:noWrap w:val="0"/>
            <w:vAlign w:val="center"/>
          </w:tcPr>
          <w:p>
            <w:pPr>
              <w:pStyle w:val="25"/>
              <w:numPr>
                <w:ilvl w:val="0"/>
                <w:numId w:val="0"/>
              </w:numPr>
              <w:spacing w:before="19" w:line="360" w:lineRule="auto"/>
              <w:ind w:leftChars="0" w:right="249" w:righ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2.6</w:t>
            </w:r>
          </w:p>
        </w:tc>
        <w:tc>
          <w:tcPr>
            <w:tcW w:w="2026" w:type="dxa"/>
            <w:noWrap w:val="0"/>
            <w:vAlign w:val="center"/>
          </w:tcPr>
          <w:p>
            <w:pPr>
              <w:pStyle w:val="25"/>
              <w:spacing w:before="19" w:line="360" w:lineRule="auto"/>
              <w:ind w:left="107"/>
              <w:jc w:val="both"/>
              <w:rPr>
                <w:rFonts w:hint="eastAsia" w:ascii="宋体" w:hAnsi="宋体" w:eastAsia="宋体" w:cs="宋体"/>
                <w:sz w:val="21"/>
                <w:szCs w:val="21"/>
                <w:lang w:eastAsia="en-US"/>
              </w:rPr>
            </w:pPr>
            <w:r>
              <w:rPr>
                <w:rFonts w:hint="eastAsia" w:ascii="宋体" w:hAnsi="宋体" w:eastAsia="宋体" w:cs="宋体"/>
                <w:sz w:val="21"/>
                <w:szCs w:val="21"/>
                <w:lang w:eastAsia="en-US"/>
              </w:rPr>
              <w:t>磋商有效期</w:t>
            </w:r>
          </w:p>
        </w:tc>
        <w:tc>
          <w:tcPr>
            <w:tcW w:w="5562" w:type="dxa"/>
            <w:gridSpan w:val="2"/>
            <w:noWrap w:val="0"/>
            <w:vAlign w:val="center"/>
          </w:tcPr>
          <w:p>
            <w:pPr>
              <w:pStyle w:val="25"/>
              <w:tabs>
                <w:tab w:val="left" w:pos="828"/>
              </w:tabs>
              <w:spacing w:before="19" w:line="360" w:lineRule="auto"/>
              <w:ind w:left="108"/>
              <w:jc w:val="both"/>
              <w:rPr>
                <w:rFonts w:hint="eastAsia" w:ascii="宋体" w:hAnsi="宋体" w:eastAsia="宋体" w:cs="宋体"/>
                <w:sz w:val="21"/>
                <w:szCs w:val="21"/>
                <w:lang w:eastAsia="en-US"/>
              </w:rPr>
            </w:pPr>
            <w:r>
              <w:rPr>
                <w:rFonts w:hint="eastAsia" w:ascii="宋体" w:hAnsi="宋体" w:eastAsia="宋体" w:cs="宋体"/>
                <w:sz w:val="21"/>
                <w:szCs w:val="21"/>
                <w:u w:val="single"/>
                <w:lang w:eastAsia="en-US"/>
              </w:rPr>
              <w:t xml:space="preserve"> </w:t>
            </w:r>
            <w:r>
              <w:rPr>
                <w:rFonts w:hint="eastAsia" w:ascii="宋体" w:hAnsi="宋体" w:eastAsia="宋体" w:cs="宋体"/>
                <w:sz w:val="21"/>
                <w:szCs w:val="21"/>
                <w:u w:val="single"/>
                <w:lang w:val="en-US" w:eastAsia="zh-CN"/>
              </w:rPr>
              <w:t>90</w:t>
            </w:r>
            <w:r>
              <w:rPr>
                <w:rFonts w:hint="eastAsia" w:ascii="宋体" w:hAnsi="宋体" w:eastAsia="宋体" w:cs="宋体"/>
                <w:sz w:val="21"/>
                <w:szCs w:val="21"/>
                <w:lang w:eastAsia="en-US"/>
              </w:rPr>
              <w:t>日历日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40" w:hRule="atLeast"/>
        </w:trPr>
        <w:tc>
          <w:tcPr>
            <w:tcW w:w="1003" w:type="dxa"/>
            <w:noWrap w:val="0"/>
            <w:vAlign w:val="center"/>
          </w:tcPr>
          <w:p>
            <w:pPr>
              <w:pStyle w:val="25"/>
              <w:numPr>
                <w:ilvl w:val="0"/>
                <w:numId w:val="0"/>
              </w:numPr>
              <w:spacing w:before="16" w:line="360" w:lineRule="auto"/>
              <w:ind w:leftChars="0" w:right="249" w:righ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2.7</w:t>
            </w:r>
          </w:p>
        </w:tc>
        <w:tc>
          <w:tcPr>
            <w:tcW w:w="2026" w:type="dxa"/>
            <w:noWrap w:val="0"/>
            <w:vAlign w:val="center"/>
          </w:tcPr>
          <w:p>
            <w:pPr>
              <w:pStyle w:val="25"/>
              <w:spacing w:before="16" w:line="360" w:lineRule="auto"/>
              <w:ind w:left="107"/>
              <w:jc w:val="both"/>
              <w:rPr>
                <w:rFonts w:hint="eastAsia" w:ascii="宋体" w:hAnsi="宋体" w:eastAsia="宋体" w:cs="宋体"/>
                <w:sz w:val="21"/>
                <w:szCs w:val="21"/>
                <w:lang w:eastAsia="en-US"/>
              </w:rPr>
            </w:pPr>
            <w:r>
              <w:rPr>
                <w:rFonts w:hint="eastAsia" w:ascii="宋体" w:hAnsi="宋体" w:eastAsia="宋体" w:cs="宋体"/>
                <w:sz w:val="21"/>
                <w:szCs w:val="21"/>
                <w:lang w:eastAsia="en-US"/>
              </w:rPr>
              <w:t>响应文件要求</w:t>
            </w:r>
          </w:p>
        </w:tc>
        <w:tc>
          <w:tcPr>
            <w:tcW w:w="5562" w:type="dxa"/>
            <w:gridSpan w:val="2"/>
            <w:noWrap w:val="0"/>
            <w:vAlign w:val="center"/>
          </w:tcPr>
          <w:p>
            <w:pPr>
              <w:pStyle w:val="25"/>
              <w:spacing w:before="16" w:line="360" w:lineRule="auto"/>
              <w:ind w:left="108"/>
              <w:jc w:val="both"/>
              <w:rPr>
                <w:rFonts w:hint="eastAsia" w:ascii="宋体" w:hAnsi="宋体" w:eastAsia="宋体" w:cs="宋体"/>
                <w:sz w:val="21"/>
                <w:szCs w:val="21"/>
                <w:lang w:eastAsia="en-US"/>
              </w:rPr>
            </w:pPr>
            <w:r>
              <w:rPr>
                <w:rFonts w:hint="eastAsia" w:ascii="宋体" w:hAnsi="宋体" w:eastAsia="宋体" w:cs="宋体"/>
                <w:sz w:val="21"/>
                <w:szCs w:val="21"/>
                <w:lang w:eastAsia="en-US"/>
              </w:rPr>
              <w:t>响应文件的纸质版文件份数：正本1份；副本2份，响应文件的正本与副本分开装订，胶装成册。依磋商文件要求加盖投标供应商公章，供应商应将响应文件密封装订，正副本分开密封或集中密封均可。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40" w:hRule="atLeast"/>
        </w:trPr>
        <w:tc>
          <w:tcPr>
            <w:tcW w:w="1003" w:type="dxa"/>
            <w:noWrap w:val="0"/>
            <w:vAlign w:val="center"/>
          </w:tcPr>
          <w:p>
            <w:pPr>
              <w:pStyle w:val="25"/>
              <w:numPr>
                <w:ilvl w:val="0"/>
                <w:numId w:val="0"/>
              </w:numPr>
              <w:spacing w:line="360" w:lineRule="auto"/>
              <w:ind w:leftChars="0" w:right="249" w:righ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2.8</w:t>
            </w:r>
          </w:p>
        </w:tc>
        <w:tc>
          <w:tcPr>
            <w:tcW w:w="2026" w:type="dxa"/>
            <w:noWrap w:val="0"/>
            <w:vAlign w:val="center"/>
          </w:tcPr>
          <w:p>
            <w:pPr>
              <w:pStyle w:val="25"/>
              <w:spacing w:line="360" w:lineRule="auto"/>
              <w:ind w:left="107"/>
              <w:jc w:val="both"/>
              <w:rPr>
                <w:rFonts w:hint="eastAsia" w:ascii="宋体" w:hAnsi="宋体" w:eastAsia="宋体" w:cs="宋体"/>
                <w:sz w:val="21"/>
                <w:szCs w:val="21"/>
              </w:rPr>
            </w:pPr>
            <w:r>
              <w:rPr>
                <w:rFonts w:hint="eastAsia" w:ascii="宋体" w:hAnsi="宋体" w:eastAsia="宋体" w:cs="宋体"/>
                <w:sz w:val="21"/>
                <w:szCs w:val="21"/>
              </w:rPr>
              <w:t>磋商现场提交的</w:t>
            </w:r>
          </w:p>
          <w:p>
            <w:pPr>
              <w:pStyle w:val="25"/>
              <w:spacing w:before="160" w:line="360" w:lineRule="auto"/>
              <w:ind w:left="107"/>
              <w:jc w:val="both"/>
              <w:rPr>
                <w:rFonts w:hint="eastAsia" w:ascii="宋体" w:hAnsi="宋体" w:eastAsia="宋体" w:cs="宋体"/>
                <w:sz w:val="21"/>
                <w:szCs w:val="21"/>
              </w:rPr>
            </w:pPr>
            <w:r>
              <w:rPr>
                <w:rFonts w:hint="eastAsia" w:ascii="宋体" w:hAnsi="宋体" w:eastAsia="宋体" w:cs="宋体"/>
                <w:sz w:val="21"/>
                <w:szCs w:val="21"/>
              </w:rPr>
              <w:t>其他材料要求</w:t>
            </w:r>
          </w:p>
        </w:tc>
        <w:tc>
          <w:tcPr>
            <w:tcW w:w="5562" w:type="dxa"/>
            <w:gridSpan w:val="2"/>
            <w:noWrap w:val="0"/>
            <w:vAlign w:val="center"/>
          </w:tcPr>
          <w:p>
            <w:pPr>
              <w:pStyle w:val="25"/>
              <w:spacing w:before="16" w:line="360" w:lineRule="auto"/>
              <w:ind w:left="108"/>
              <w:jc w:val="both"/>
              <w:rPr>
                <w:rFonts w:hint="eastAsia" w:ascii="宋体" w:hAnsi="宋体" w:eastAsia="宋体" w:cs="宋体"/>
                <w:sz w:val="21"/>
                <w:szCs w:val="21"/>
              </w:rPr>
            </w:pPr>
            <w:r>
              <w:rPr>
                <w:rFonts w:hint="eastAsia" w:ascii="宋体" w:hAnsi="宋体" w:eastAsia="宋体" w:cs="宋体"/>
                <w:sz w:val="21"/>
                <w:szCs w:val="21"/>
              </w:rPr>
              <w:t>电子版响应文件（U盘）1份。其电子版文件须为签字盖章后纸质版响应文件的完整扫描件。</w:t>
            </w:r>
          </w:p>
          <w:p>
            <w:pPr>
              <w:pStyle w:val="25"/>
              <w:spacing w:before="16" w:line="360" w:lineRule="auto"/>
              <w:ind w:left="108"/>
              <w:jc w:val="both"/>
              <w:rPr>
                <w:rFonts w:hint="eastAsia" w:ascii="宋体" w:hAnsi="宋体" w:eastAsia="宋体" w:cs="宋体"/>
                <w:sz w:val="21"/>
                <w:szCs w:val="21"/>
              </w:rPr>
            </w:pPr>
            <w:r>
              <w:rPr>
                <w:rFonts w:hint="eastAsia" w:ascii="宋体" w:hAnsi="宋体" w:eastAsia="宋体" w:cs="宋体"/>
                <w:sz w:val="21"/>
                <w:szCs w:val="21"/>
              </w:rPr>
              <w:t>响应文件电子版密封方式：以上电子U盘单独放入一个密封袋中，加贴封条，并在封套封口处加盖供应商单位章，在封套上标记“响应文件电子版”字样。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40" w:hRule="atLeast"/>
        </w:trPr>
        <w:tc>
          <w:tcPr>
            <w:tcW w:w="1003" w:type="dxa"/>
            <w:noWrap w:val="0"/>
            <w:vAlign w:val="center"/>
          </w:tcPr>
          <w:p>
            <w:pPr>
              <w:pStyle w:val="25"/>
              <w:numPr>
                <w:ilvl w:val="0"/>
                <w:numId w:val="0"/>
              </w:numPr>
              <w:spacing w:line="360" w:lineRule="auto"/>
              <w:ind w:leftChars="0" w:right="249" w:righ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2.9</w:t>
            </w:r>
          </w:p>
        </w:tc>
        <w:tc>
          <w:tcPr>
            <w:tcW w:w="2026" w:type="dxa"/>
            <w:noWrap w:val="0"/>
            <w:vAlign w:val="center"/>
          </w:tcPr>
          <w:p>
            <w:pPr>
              <w:autoSpaceDE w:val="0"/>
              <w:autoSpaceDN w:val="0"/>
              <w:spacing w:before="16" w:line="360" w:lineRule="auto"/>
              <w:ind w:left="107" w:leftChars="0"/>
              <w:rPr>
                <w:rFonts w:hint="eastAsia" w:ascii="宋体" w:hAnsi="宋体" w:eastAsia="宋体" w:cs="宋体"/>
                <w:sz w:val="21"/>
                <w:szCs w:val="21"/>
              </w:rPr>
            </w:pPr>
            <w:r>
              <w:rPr>
                <w:rFonts w:ascii="宋体" w:hAnsi="宋体" w:eastAsia="宋体" w:cs="宋体"/>
                <w:kern w:val="0"/>
                <w:szCs w:val="21"/>
                <w:lang w:val="zh-CN" w:eastAsia="en-US" w:bidi="zh-CN"/>
              </w:rPr>
              <w:t>封套上写明</w:t>
            </w:r>
          </w:p>
        </w:tc>
        <w:tc>
          <w:tcPr>
            <w:tcW w:w="5562" w:type="dxa"/>
            <w:gridSpan w:val="2"/>
            <w:noWrap w:val="0"/>
            <w:vAlign w:val="center"/>
          </w:tcPr>
          <w:p>
            <w:pPr>
              <w:spacing w:line="400" w:lineRule="exact"/>
              <w:rPr>
                <w:rFonts w:ascii="宋体" w:hAnsi="宋体" w:eastAsia="宋体" w:cs="宋体"/>
                <w:kern w:val="0"/>
                <w:szCs w:val="21"/>
              </w:rPr>
            </w:pPr>
            <w:r>
              <w:rPr>
                <w:rFonts w:hint="eastAsia" w:ascii="宋体" w:hAnsi="宋体" w:eastAsia="宋体"/>
                <w:szCs w:val="21"/>
              </w:rPr>
              <w:t>采购人名称：</w:t>
            </w:r>
            <w:r>
              <w:rPr>
                <w:rFonts w:hint="eastAsia" w:ascii="宋体" w:hAnsi="宋体" w:eastAsia="宋体"/>
                <w:szCs w:val="21"/>
                <w:u w:val="single"/>
              </w:rPr>
              <w:t xml:space="preserve">                           </w:t>
            </w:r>
          </w:p>
          <w:p>
            <w:pPr>
              <w:spacing w:line="400" w:lineRule="exact"/>
              <w:rPr>
                <w:rFonts w:ascii="宋体" w:hAnsi="宋体" w:eastAsia="宋体"/>
                <w:szCs w:val="21"/>
                <w:u w:val="single"/>
              </w:rPr>
            </w:pPr>
            <w:r>
              <w:rPr>
                <w:rFonts w:hint="eastAsia" w:ascii="宋体" w:hAnsi="宋体" w:eastAsia="宋体"/>
                <w:szCs w:val="21"/>
              </w:rPr>
              <w:t>供应商名称：</w:t>
            </w:r>
            <w:r>
              <w:rPr>
                <w:rFonts w:ascii="宋体" w:hAnsi="宋体" w:eastAsia="宋体"/>
                <w:szCs w:val="21"/>
                <w:u w:val="single"/>
              </w:rPr>
              <w:t xml:space="preserve">                           </w:t>
            </w:r>
          </w:p>
          <w:p>
            <w:pPr>
              <w:spacing w:line="400" w:lineRule="exact"/>
              <w:rPr>
                <w:rFonts w:ascii="宋体" w:hAnsi="宋体" w:eastAsia="宋体"/>
                <w:szCs w:val="21"/>
              </w:rPr>
            </w:pPr>
            <w:r>
              <w:rPr>
                <w:rFonts w:ascii="宋体" w:hAnsi="宋体" w:eastAsia="宋体"/>
                <w:szCs w:val="21"/>
                <w:u w:val="single"/>
              </w:rPr>
              <w:t xml:space="preserve">                    </w:t>
            </w:r>
            <w:r>
              <w:rPr>
                <w:rFonts w:hint="eastAsia" w:ascii="宋体" w:hAnsi="宋体" w:eastAsia="宋体"/>
                <w:szCs w:val="21"/>
                <w:u w:val="single"/>
              </w:rPr>
              <w:t xml:space="preserve">    </w:t>
            </w:r>
            <w:r>
              <w:rPr>
                <w:rFonts w:ascii="宋体" w:hAnsi="宋体" w:eastAsia="宋体"/>
                <w:szCs w:val="21"/>
              </w:rPr>
              <w:t>(</w:t>
            </w:r>
            <w:r>
              <w:rPr>
                <w:rFonts w:hint="eastAsia" w:ascii="宋体" w:hAnsi="宋体" w:eastAsia="宋体"/>
                <w:szCs w:val="21"/>
              </w:rPr>
              <w:t>项目名称</w:t>
            </w:r>
            <w:r>
              <w:rPr>
                <w:rFonts w:ascii="宋体" w:hAnsi="宋体" w:eastAsia="宋体"/>
                <w:szCs w:val="21"/>
              </w:rPr>
              <w:t>)</w:t>
            </w:r>
            <w:r>
              <w:rPr>
                <w:rFonts w:hint="eastAsia" w:ascii="宋体" w:hAnsi="宋体" w:eastAsia="宋体"/>
                <w:szCs w:val="21"/>
              </w:rPr>
              <w:t>响应文件</w:t>
            </w:r>
          </w:p>
          <w:p>
            <w:pPr>
              <w:autoSpaceDE w:val="0"/>
              <w:autoSpaceDN w:val="0"/>
              <w:spacing w:before="16" w:line="360" w:lineRule="auto"/>
              <w:ind w:left="108" w:leftChars="0"/>
              <w:rPr>
                <w:rFonts w:hint="eastAsia" w:ascii="宋体" w:hAnsi="宋体" w:eastAsia="宋体" w:cs="宋体"/>
                <w:sz w:val="21"/>
                <w:szCs w:val="21"/>
                <w:u w:val="single"/>
                <w:lang w:eastAsia="en-US"/>
              </w:rPr>
            </w:pPr>
            <w:r>
              <w:rPr>
                <w:rFonts w:hint="eastAsia" w:ascii="宋体" w:hAnsi="宋体" w:eastAsia="宋体"/>
                <w:szCs w:val="21"/>
              </w:rPr>
              <w:t>在</w:t>
            </w:r>
            <w:r>
              <w:rPr>
                <w:rFonts w:ascii="宋体" w:hAnsi="宋体" w:eastAsia="宋体"/>
                <w:szCs w:val="21"/>
                <w:u w:val="single"/>
              </w:rPr>
              <w:t xml:space="preserve"> 20</w:t>
            </w:r>
            <w:r>
              <w:rPr>
                <w:rFonts w:hint="eastAsia" w:ascii="宋体" w:hAnsi="宋体" w:eastAsia="宋体"/>
                <w:szCs w:val="21"/>
                <w:u w:val="single"/>
              </w:rPr>
              <w:t>2</w:t>
            </w:r>
            <w:r>
              <w:rPr>
                <w:rFonts w:hint="eastAsia" w:ascii="宋体" w:hAnsi="宋体" w:eastAsia="宋体"/>
                <w:szCs w:val="21"/>
                <w:u w:val="single"/>
                <w:lang w:val="en-US" w:eastAsia="zh-CN"/>
              </w:rPr>
              <w:t>4</w:t>
            </w:r>
            <w:r>
              <w:rPr>
                <w:rFonts w:hint="eastAsia" w:ascii="宋体" w:hAnsi="宋体" w:eastAsia="宋体"/>
                <w:szCs w:val="21"/>
              </w:rPr>
              <w:t>年</w:t>
            </w:r>
            <w:r>
              <w:rPr>
                <w:rFonts w:hint="eastAsia" w:ascii="宋体" w:hAnsi="宋体" w:eastAsia="宋体"/>
                <w:szCs w:val="21"/>
                <w:u w:val="single"/>
              </w:rPr>
              <w:t xml:space="preserve">   </w:t>
            </w:r>
            <w:r>
              <w:rPr>
                <w:rFonts w:hint="eastAsia" w:ascii="宋体" w:hAnsi="宋体" w:eastAsia="宋体"/>
                <w:szCs w:val="21"/>
              </w:rPr>
              <w:t>月</w:t>
            </w:r>
            <w:r>
              <w:rPr>
                <w:rFonts w:hint="eastAsia" w:ascii="宋体" w:hAnsi="宋体" w:eastAsia="宋体"/>
                <w:szCs w:val="21"/>
                <w:u w:val="single"/>
              </w:rPr>
              <w:t xml:space="preserve">    </w:t>
            </w:r>
            <w:r>
              <w:rPr>
                <w:rFonts w:hint="eastAsia" w:ascii="宋体" w:hAnsi="宋体" w:eastAsia="宋体"/>
                <w:szCs w:val="21"/>
              </w:rPr>
              <w:t>日</w:t>
            </w:r>
            <w:r>
              <w:rPr>
                <w:rFonts w:hint="eastAsia" w:ascii="宋体" w:hAnsi="宋体" w:eastAsia="宋体"/>
                <w:szCs w:val="21"/>
                <w:u w:val="single"/>
              </w:rPr>
              <w:t xml:space="preserve">    </w:t>
            </w:r>
            <w:r>
              <w:rPr>
                <w:rFonts w:hint="eastAsia" w:ascii="宋体" w:hAnsi="宋体" w:eastAsia="宋体"/>
                <w:szCs w:val="21"/>
              </w:rPr>
              <w:t>时</w:t>
            </w:r>
            <w:r>
              <w:rPr>
                <w:rFonts w:hint="eastAsia" w:ascii="宋体" w:hAnsi="宋体" w:eastAsia="宋体"/>
                <w:szCs w:val="21"/>
                <w:u w:val="single"/>
              </w:rPr>
              <w:t xml:space="preserve">     </w:t>
            </w:r>
            <w:r>
              <w:rPr>
                <w:rFonts w:hint="eastAsia" w:ascii="宋体" w:hAnsi="宋体" w:eastAsia="宋体"/>
                <w:szCs w:val="21"/>
              </w:rPr>
              <w:t>分前不得开启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40" w:hRule="atLeast"/>
        </w:trPr>
        <w:tc>
          <w:tcPr>
            <w:tcW w:w="1003" w:type="dxa"/>
            <w:noWrap w:val="0"/>
            <w:vAlign w:val="center"/>
          </w:tcPr>
          <w:p>
            <w:pPr>
              <w:pStyle w:val="25"/>
              <w:numPr>
                <w:ilvl w:val="0"/>
                <w:numId w:val="0"/>
              </w:numPr>
              <w:spacing w:line="360" w:lineRule="auto"/>
              <w:ind w:leftChars="0" w:right="249" w:righ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2.10</w:t>
            </w:r>
          </w:p>
        </w:tc>
        <w:tc>
          <w:tcPr>
            <w:tcW w:w="2026" w:type="dxa"/>
            <w:noWrap w:val="0"/>
            <w:vAlign w:val="center"/>
          </w:tcPr>
          <w:p>
            <w:pPr>
              <w:pStyle w:val="25"/>
              <w:spacing w:line="360" w:lineRule="auto"/>
              <w:ind w:left="107"/>
              <w:jc w:val="both"/>
              <w:rPr>
                <w:rFonts w:hint="eastAsia" w:ascii="宋体" w:hAnsi="宋体" w:eastAsia="宋体" w:cs="宋体"/>
                <w:sz w:val="21"/>
                <w:szCs w:val="21"/>
              </w:rPr>
            </w:pPr>
            <w:r>
              <w:rPr>
                <w:rFonts w:hint="eastAsia" w:ascii="宋体" w:hAnsi="宋体" w:eastAsia="宋体" w:cs="宋体"/>
                <w:sz w:val="21"/>
                <w:szCs w:val="21"/>
              </w:rPr>
              <w:t>响应文件提交截</w:t>
            </w:r>
          </w:p>
          <w:p>
            <w:pPr>
              <w:pStyle w:val="25"/>
              <w:spacing w:before="160" w:line="360" w:lineRule="auto"/>
              <w:ind w:left="107"/>
              <w:jc w:val="both"/>
              <w:rPr>
                <w:rFonts w:hint="eastAsia" w:ascii="宋体" w:hAnsi="宋体" w:eastAsia="宋体" w:cs="宋体"/>
                <w:sz w:val="21"/>
                <w:szCs w:val="21"/>
              </w:rPr>
            </w:pPr>
            <w:r>
              <w:rPr>
                <w:rFonts w:hint="eastAsia" w:ascii="宋体" w:hAnsi="宋体" w:eastAsia="宋体" w:cs="宋体"/>
                <w:sz w:val="21"/>
                <w:szCs w:val="21"/>
              </w:rPr>
              <w:t>止时间</w:t>
            </w:r>
          </w:p>
        </w:tc>
        <w:tc>
          <w:tcPr>
            <w:tcW w:w="5562" w:type="dxa"/>
            <w:gridSpan w:val="2"/>
            <w:noWrap w:val="0"/>
            <w:vAlign w:val="center"/>
          </w:tcPr>
          <w:p>
            <w:pPr>
              <w:pStyle w:val="25"/>
              <w:spacing w:before="5" w:line="360" w:lineRule="auto"/>
              <w:jc w:val="both"/>
              <w:rPr>
                <w:rFonts w:hint="eastAsia" w:ascii="宋体" w:hAnsi="宋体" w:eastAsia="宋体" w:cs="宋体"/>
                <w:sz w:val="21"/>
                <w:szCs w:val="21"/>
              </w:rPr>
            </w:pPr>
          </w:p>
          <w:p>
            <w:pPr>
              <w:pStyle w:val="25"/>
              <w:spacing w:line="360" w:lineRule="auto"/>
              <w:ind w:left="108"/>
              <w:jc w:val="both"/>
              <w:rPr>
                <w:rFonts w:hint="eastAsia" w:ascii="宋体" w:hAnsi="宋体" w:eastAsia="宋体" w:cs="宋体"/>
                <w:sz w:val="21"/>
                <w:szCs w:val="21"/>
                <w:lang w:eastAsia="en-US"/>
              </w:rPr>
            </w:pPr>
            <w:r>
              <w:rPr>
                <w:rFonts w:hint="eastAsia" w:ascii="宋体" w:hAnsi="宋体" w:eastAsia="宋体" w:cs="宋体"/>
                <w:sz w:val="21"/>
                <w:szCs w:val="21"/>
                <w:u w:val="single"/>
                <w:lang w:eastAsia="en-US"/>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982" w:hRule="atLeast"/>
        </w:trPr>
        <w:tc>
          <w:tcPr>
            <w:tcW w:w="1003" w:type="dxa"/>
            <w:noWrap w:val="0"/>
            <w:vAlign w:val="center"/>
          </w:tcPr>
          <w:p>
            <w:pPr>
              <w:pStyle w:val="25"/>
              <w:numPr>
                <w:ilvl w:val="0"/>
                <w:numId w:val="0"/>
              </w:numPr>
              <w:spacing w:line="360" w:lineRule="auto"/>
              <w:ind w:leftChars="0" w:right="249" w:righ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2.11</w:t>
            </w:r>
          </w:p>
        </w:tc>
        <w:tc>
          <w:tcPr>
            <w:tcW w:w="2026" w:type="dxa"/>
            <w:noWrap w:val="0"/>
            <w:vAlign w:val="center"/>
          </w:tcPr>
          <w:p>
            <w:pPr>
              <w:spacing w:line="400" w:lineRule="exact"/>
              <w:jc w:val="center"/>
              <w:rPr>
                <w:rFonts w:hint="eastAsia" w:ascii="宋体" w:hAnsi="宋体" w:eastAsia="宋体" w:cs="宋体"/>
                <w:sz w:val="21"/>
                <w:szCs w:val="21"/>
                <w:lang w:eastAsia="en-US"/>
              </w:rPr>
            </w:pPr>
            <w:r>
              <w:rPr>
                <w:rFonts w:hint="eastAsia" w:ascii="宋体" w:hAnsi="宋体" w:eastAsia="宋体" w:cs="宋体"/>
                <w:sz w:val="21"/>
                <w:szCs w:val="21"/>
                <w:lang w:val="zh-CN" w:eastAsia="zh-CN" w:bidi="zh-CN"/>
              </w:rPr>
              <w:t>人员到场</w:t>
            </w:r>
          </w:p>
        </w:tc>
        <w:tc>
          <w:tcPr>
            <w:tcW w:w="5562" w:type="dxa"/>
            <w:gridSpan w:val="2"/>
            <w:noWrap w:val="0"/>
            <w:vAlign w:val="center"/>
          </w:tcPr>
          <w:p>
            <w:pPr>
              <w:spacing w:line="400" w:lineRule="exact"/>
              <w:ind w:left="105" w:leftChars="50" w:right="113" w:rightChars="0"/>
              <w:rPr>
                <w:rFonts w:hint="eastAsia" w:ascii="宋体" w:hAnsi="宋体" w:eastAsia="宋体" w:cs="宋体"/>
                <w:sz w:val="21"/>
                <w:szCs w:val="21"/>
              </w:rPr>
            </w:pPr>
            <w:r>
              <w:rPr>
                <w:rFonts w:hint="eastAsia" w:ascii="宋体" w:hAnsi="宋体" w:eastAsia="宋体" w:cs="宋体"/>
                <w:sz w:val="21"/>
                <w:szCs w:val="21"/>
              </w:rPr>
              <w:t>开标时供应商法定代表人或其授权代理人应携带法定代表人身份证明书或法定代表人授权委托书（单独提交一份）及本人身份证原件签名报到参加磋商会。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40" w:hRule="atLeast"/>
        </w:trPr>
        <w:tc>
          <w:tcPr>
            <w:tcW w:w="1003" w:type="dxa"/>
            <w:vMerge w:val="restart"/>
            <w:noWrap w:val="0"/>
            <w:vAlign w:val="center"/>
          </w:tcPr>
          <w:p>
            <w:pPr>
              <w:pStyle w:val="25"/>
              <w:numPr>
                <w:ilvl w:val="0"/>
                <w:numId w:val="0"/>
              </w:numPr>
              <w:spacing w:before="1" w:line="360" w:lineRule="auto"/>
              <w:ind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2.12</w:t>
            </w:r>
          </w:p>
        </w:tc>
        <w:tc>
          <w:tcPr>
            <w:tcW w:w="2026" w:type="dxa"/>
            <w:noWrap w:val="0"/>
            <w:vAlign w:val="center"/>
          </w:tcPr>
          <w:p>
            <w:pPr>
              <w:pStyle w:val="25"/>
              <w:spacing w:before="16" w:line="360" w:lineRule="auto"/>
              <w:ind w:left="107"/>
              <w:jc w:val="both"/>
              <w:rPr>
                <w:rFonts w:hint="eastAsia" w:ascii="宋体" w:hAnsi="宋体" w:eastAsia="宋体" w:cs="宋体"/>
                <w:sz w:val="21"/>
                <w:szCs w:val="21"/>
                <w:lang w:eastAsia="en-US"/>
              </w:rPr>
            </w:pPr>
            <w:r>
              <w:rPr>
                <w:rFonts w:hint="eastAsia" w:ascii="宋体" w:hAnsi="宋体" w:eastAsia="宋体" w:cs="宋体"/>
                <w:sz w:val="21"/>
                <w:szCs w:val="21"/>
                <w:lang w:eastAsia="en-US"/>
              </w:rPr>
              <w:t>磋商时间</w:t>
            </w:r>
          </w:p>
        </w:tc>
        <w:tc>
          <w:tcPr>
            <w:tcW w:w="5562" w:type="dxa"/>
            <w:gridSpan w:val="2"/>
            <w:noWrap w:val="0"/>
            <w:vAlign w:val="center"/>
          </w:tcPr>
          <w:p>
            <w:pPr>
              <w:pStyle w:val="25"/>
              <w:spacing w:before="16" w:line="360" w:lineRule="auto"/>
              <w:ind w:left="108"/>
              <w:jc w:val="both"/>
              <w:rPr>
                <w:rFonts w:hint="eastAsia" w:ascii="宋体" w:hAnsi="宋体" w:eastAsia="宋体" w:cs="宋体"/>
                <w:sz w:val="21"/>
                <w:szCs w:val="21"/>
                <w:lang w:eastAsia="en-US"/>
              </w:rPr>
            </w:pPr>
            <w:r>
              <w:rPr>
                <w:rFonts w:hint="eastAsia" w:ascii="宋体" w:hAnsi="宋体" w:eastAsia="宋体" w:cs="宋体"/>
                <w:sz w:val="21"/>
                <w:szCs w:val="21"/>
                <w:u w:val="single"/>
                <w:lang w:eastAsia="en-US"/>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07" w:hRule="atLeast"/>
        </w:trPr>
        <w:tc>
          <w:tcPr>
            <w:tcW w:w="1003" w:type="dxa"/>
            <w:vMerge w:val="continue"/>
            <w:noWrap w:val="0"/>
            <w:vAlign w:val="center"/>
          </w:tcPr>
          <w:p>
            <w:pPr>
              <w:autoSpaceDE w:val="0"/>
              <w:autoSpaceDN w:val="0"/>
              <w:spacing w:line="360" w:lineRule="auto"/>
              <w:jc w:val="center"/>
              <w:rPr>
                <w:rFonts w:hint="eastAsia" w:ascii="宋体" w:hAnsi="宋体" w:eastAsia="宋体" w:cs="宋体"/>
                <w:kern w:val="0"/>
                <w:sz w:val="21"/>
                <w:szCs w:val="21"/>
                <w:lang w:eastAsia="en-US"/>
              </w:rPr>
            </w:pPr>
          </w:p>
        </w:tc>
        <w:tc>
          <w:tcPr>
            <w:tcW w:w="2026" w:type="dxa"/>
            <w:noWrap w:val="0"/>
            <w:vAlign w:val="center"/>
          </w:tcPr>
          <w:p>
            <w:pPr>
              <w:pStyle w:val="25"/>
              <w:spacing w:before="16" w:line="360" w:lineRule="auto"/>
              <w:ind w:left="107"/>
              <w:jc w:val="both"/>
              <w:rPr>
                <w:rFonts w:hint="eastAsia" w:ascii="宋体" w:hAnsi="宋体" w:eastAsia="宋体" w:cs="宋体"/>
                <w:sz w:val="21"/>
                <w:szCs w:val="21"/>
                <w:lang w:eastAsia="en-US"/>
              </w:rPr>
            </w:pPr>
            <w:r>
              <w:rPr>
                <w:rFonts w:hint="eastAsia" w:ascii="宋体" w:hAnsi="宋体" w:eastAsia="宋体" w:cs="宋体"/>
                <w:sz w:val="21"/>
                <w:szCs w:val="21"/>
                <w:lang w:eastAsia="en-US"/>
              </w:rPr>
              <w:t>磋商地点</w:t>
            </w:r>
          </w:p>
        </w:tc>
        <w:tc>
          <w:tcPr>
            <w:tcW w:w="5562" w:type="dxa"/>
            <w:gridSpan w:val="2"/>
            <w:noWrap w:val="0"/>
            <w:vAlign w:val="center"/>
          </w:tcPr>
          <w:p>
            <w:pPr>
              <w:pStyle w:val="25"/>
              <w:spacing w:before="16" w:line="360" w:lineRule="auto"/>
              <w:ind w:left="108"/>
              <w:jc w:val="both"/>
              <w:rPr>
                <w:rFonts w:hint="eastAsia" w:ascii="宋体" w:hAnsi="宋体" w:eastAsia="宋体" w:cs="宋体"/>
                <w:sz w:val="21"/>
                <w:szCs w:val="21"/>
                <w:lang w:eastAsia="en-US"/>
              </w:rPr>
            </w:pPr>
            <w:r>
              <w:rPr>
                <w:rFonts w:hint="eastAsia" w:ascii="宋体" w:hAnsi="宋体" w:eastAsia="宋体" w:cs="宋体"/>
                <w:sz w:val="21"/>
                <w:szCs w:val="21"/>
                <w:u w:val="single"/>
                <w:lang w:eastAsia="en-US"/>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03" w:hRule="atLeast"/>
        </w:trPr>
        <w:tc>
          <w:tcPr>
            <w:tcW w:w="1003" w:type="dxa"/>
            <w:noWrap w:val="0"/>
            <w:vAlign w:val="center"/>
          </w:tcPr>
          <w:p>
            <w:pPr>
              <w:pStyle w:val="25"/>
              <w:numPr>
                <w:ilvl w:val="0"/>
                <w:numId w:val="0"/>
              </w:numPr>
              <w:spacing w:before="19" w:line="360" w:lineRule="auto"/>
              <w:ind w:leftChars="0" w:right="249" w:righ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2.13</w:t>
            </w:r>
          </w:p>
        </w:tc>
        <w:tc>
          <w:tcPr>
            <w:tcW w:w="2026" w:type="dxa"/>
            <w:noWrap w:val="0"/>
            <w:vAlign w:val="center"/>
          </w:tcPr>
          <w:p>
            <w:pPr>
              <w:pStyle w:val="25"/>
              <w:spacing w:before="19" w:line="360" w:lineRule="auto"/>
              <w:ind w:left="107"/>
              <w:jc w:val="both"/>
              <w:rPr>
                <w:rFonts w:hint="eastAsia" w:ascii="宋体" w:hAnsi="宋体" w:eastAsia="宋体" w:cs="宋体"/>
                <w:sz w:val="21"/>
                <w:szCs w:val="21"/>
                <w:lang w:eastAsia="en-US"/>
              </w:rPr>
            </w:pPr>
            <w:r>
              <w:rPr>
                <w:rFonts w:hint="eastAsia" w:ascii="宋体" w:hAnsi="宋体" w:eastAsia="宋体" w:cs="宋体"/>
                <w:sz w:val="21"/>
                <w:szCs w:val="21"/>
                <w:lang w:eastAsia="en-US"/>
              </w:rPr>
              <w:t>评审方法</w:t>
            </w:r>
          </w:p>
        </w:tc>
        <w:tc>
          <w:tcPr>
            <w:tcW w:w="5562" w:type="dxa"/>
            <w:gridSpan w:val="2"/>
            <w:noWrap w:val="0"/>
            <w:vAlign w:val="center"/>
          </w:tcPr>
          <w:p>
            <w:pPr>
              <w:pStyle w:val="25"/>
              <w:spacing w:before="19" w:line="360" w:lineRule="auto"/>
              <w:ind w:left="108"/>
              <w:jc w:val="both"/>
              <w:rPr>
                <w:rFonts w:hint="eastAsia" w:ascii="宋体" w:hAnsi="宋体" w:eastAsia="宋体" w:cs="宋体"/>
                <w:sz w:val="21"/>
                <w:szCs w:val="21"/>
                <w:lang w:eastAsia="en-US"/>
              </w:rPr>
            </w:pPr>
            <w:r>
              <w:rPr>
                <w:rFonts w:hint="eastAsia" w:ascii="宋体" w:hAnsi="宋体" w:eastAsia="宋体" w:cs="宋体"/>
                <w:sz w:val="21"/>
                <w:szCs w:val="21"/>
                <w:lang w:eastAsia="zh-CN"/>
              </w:rPr>
              <w:t>☑</w:t>
            </w:r>
            <w:r>
              <w:rPr>
                <w:rFonts w:hint="eastAsia" w:ascii="宋体" w:hAnsi="宋体" w:eastAsia="宋体" w:cs="宋体"/>
                <w:sz w:val="21"/>
                <w:szCs w:val="21"/>
                <w:u w:val="single"/>
                <w:lang w:eastAsia="en-US"/>
              </w:rPr>
              <w:t>综合评分法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9" w:hRule="atLeast"/>
        </w:trPr>
        <w:tc>
          <w:tcPr>
            <w:tcW w:w="1003" w:type="dxa"/>
            <w:noWrap w:val="0"/>
            <w:vAlign w:val="center"/>
          </w:tcPr>
          <w:p>
            <w:pPr>
              <w:pStyle w:val="25"/>
              <w:numPr>
                <w:ilvl w:val="0"/>
                <w:numId w:val="0"/>
              </w:numPr>
              <w:spacing w:before="146" w:line="360" w:lineRule="auto"/>
              <w:ind w:leftChars="0" w:right="249" w:righ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2.14</w:t>
            </w:r>
          </w:p>
        </w:tc>
        <w:tc>
          <w:tcPr>
            <w:tcW w:w="2026" w:type="dxa"/>
            <w:noWrap w:val="0"/>
            <w:vAlign w:val="center"/>
          </w:tcPr>
          <w:p>
            <w:pPr>
              <w:spacing w:line="360" w:lineRule="auto"/>
              <w:rPr>
                <w:rFonts w:hint="eastAsia" w:ascii="宋体" w:hAnsi="宋体" w:eastAsia="宋体" w:cs="宋体"/>
                <w:sz w:val="21"/>
                <w:szCs w:val="21"/>
                <w:lang w:eastAsia="en-US"/>
              </w:rPr>
            </w:pPr>
            <w:r>
              <w:rPr>
                <w:rFonts w:hint="eastAsia" w:ascii="宋体" w:hAnsi="宋体" w:eastAsia="宋体" w:cs="宋体"/>
                <w:sz w:val="21"/>
                <w:szCs w:val="21"/>
                <w:lang w:val="en-US" w:eastAsia="zh-CN"/>
              </w:rPr>
              <w:t>磋商</w:t>
            </w:r>
            <w:r>
              <w:rPr>
                <w:rFonts w:hint="eastAsia" w:ascii="宋体" w:hAnsi="宋体" w:eastAsia="宋体" w:cs="宋体"/>
                <w:sz w:val="21"/>
                <w:szCs w:val="21"/>
              </w:rPr>
              <w:t>顺序</w:t>
            </w:r>
          </w:p>
        </w:tc>
        <w:tc>
          <w:tcPr>
            <w:tcW w:w="5562" w:type="dxa"/>
            <w:gridSpan w:val="2"/>
            <w:noWrap w:val="0"/>
            <w:vAlign w:val="center"/>
          </w:tcPr>
          <w:p>
            <w:pPr>
              <w:spacing w:line="360" w:lineRule="auto"/>
              <w:rPr>
                <w:rFonts w:hint="eastAsia" w:ascii="宋体" w:hAnsi="宋体" w:eastAsia="宋体" w:cs="宋体"/>
                <w:sz w:val="21"/>
                <w:szCs w:val="21"/>
              </w:rPr>
            </w:pPr>
            <w:r>
              <w:rPr>
                <w:rFonts w:hint="eastAsia" w:ascii="宋体" w:hAnsi="宋体" w:eastAsia="宋体" w:cs="宋体"/>
                <w:sz w:val="21"/>
                <w:szCs w:val="21"/>
              </w:rPr>
              <w:t>密封情况检查：供应商检查</w:t>
            </w:r>
          </w:p>
          <w:p>
            <w:pPr>
              <w:spacing w:line="360" w:lineRule="auto"/>
              <w:rPr>
                <w:rFonts w:hint="eastAsia" w:ascii="宋体" w:hAnsi="宋体" w:eastAsia="宋体" w:cs="宋体"/>
                <w:sz w:val="21"/>
                <w:szCs w:val="21"/>
              </w:rPr>
            </w:pPr>
            <w:r>
              <w:rPr>
                <w:rFonts w:hint="eastAsia" w:ascii="宋体" w:hAnsi="宋体" w:eastAsia="宋体" w:cs="宋体"/>
                <w:sz w:val="21"/>
                <w:szCs w:val="21"/>
              </w:rPr>
              <w:t>开标顺序：按</w:t>
            </w:r>
            <w:r>
              <w:rPr>
                <w:rFonts w:hint="eastAsia" w:ascii="宋体" w:hAnsi="宋体" w:eastAsia="宋体" w:cs="宋体"/>
                <w:sz w:val="21"/>
                <w:szCs w:val="21"/>
                <w:lang w:val="en-US" w:eastAsia="zh-CN"/>
              </w:rPr>
              <w:t>磋商</w:t>
            </w:r>
            <w:r>
              <w:rPr>
                <w:rFonts w:hint="eastAsia" w:ascii="宋体" w:hAnsi="宋体" w:eastAsia="宋体" w:cs="宋体"/>
                <w:sz w:val="21"/>
                <w:szCs w:val="21"/>
              </w:rPr>
              <w:t>文件递交的先后顺序进行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1003" w:type="dxa"/>
            <w:vMerge w:val="restart"/>
            <w:noWrap w:val="0"/>
            <w:vAlign w:val="center"/>
          </w:tcPr>
          <w:p>
            <w:pPr>
              <w:pStyle w:val="25"/>
              <w:numPr>
                <w:ilvl w:val="0"/>
                <w:numId w:val="0"/>
              </w:numPr>
              <w:spacing w:before="213" w:line="360" w:lineRule="auto"/>
              <w:ind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2.15</w:t>
            </w:r>
          </w:p>
        </w:tc>
        <w:tc>
          <w:tcPr>
            <w:tcW w:w="2026" w:type="dxa"/>
            <w:vMerge w:val="restart"/>
            <w:noWrap w:val="0"/>
            <w:vAlign w:val="center"/>
          </w:tcPr>
          <w:p>
            <w:pPr>
              <w:pStyle w:val="25"/>
              <w:spacing w:before="21" w:line="360" w:lineRule="auto"/>
              <w:ind w:left="107" w:right="74"/>
              <w:jc w:val="both"/>
              <w:rPr>
                <w:rFonts w:hint="eastAsia" w:ascii="宋体" w:hAnsi="宋体" w:eastAsia="宋体" w:cs="宋体"/>
                <w:sz w:val="21"/>
                <w:szCs w:val="21"/>
              </w:rPr>
            </w:pPr>
            <w:r>
              <w:rPr>
                <w:rFonts w:hint="eastAsia" w:ascii="宋体" w:hAnsi="宋体" w:eastAsia="宋体" w:cs="宋体"/>
                <w:sz w:val="21"/>
                <w:szCs w:val="21"/>
              </w:rPr>
              <w:t>确定成交候选供应商和成交供应商</w:t>
            </w:r>
          </w:p>
        </w:tc>
        <w:tc>
          <w:tcPr>
            <w:tcW w:w="5562" w:type="dxa"/>
            <w:gridSpan w:val="2"/>
            <w:noWrap w:val="0"/>
            <w:vAlign w:val="center"/>
          </w:tcPr>
          <w:p>
            <w:pPr>
              <w:pStyle w:val="25"/>
              <w:tabs>
                <w:tab w:val="left" w:pos="5415"/>
              </w:tabs>
              <w:spacing w:before="16" w:line="360" w:lineRule="auto"/>
              <w:ind w:left="108"/>
              <w:jc w:val="both"/>
              <w:rPr>
                <w:rFonts w:hint="eastAsia" w:ascii="宋体" w:hAnsi="宋体" w:eastAsia="宋体" w:cs="宋体"/>
                <w:sz w:val="21"/>
                <w:szCs w:val="21"/>
                <w:lang w:eastAsia="zh-CN"/>
              </w:rPr>
            </w:pPr>
            <w:r>
              <w:rPr>
                <w:rFonts w:hint="eastAsia" w:ascii="宋体" w:hAnsi="宋体" w:eastAsia="宋体" w:cs="宋体"/>
                <w:sz w:val="21"/>
                <w:szCs w:val="21"/>
              </w:rPr>
              <w:t>磋商小组推荐成交候选供应商的数量：3名及以上</w:t>
            </w:r>
            <w:r>
              <w:rPr>
                <w:rFonts w:hint="eastAsia" w:ascii="宋体" w:hAnsi="宋体" w:eastAsia="宋体" w:cs="宋体"/>
                <w:sz w:val="21"/>
                <w:szCs w:val="21"/>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1003" w:type="dxa"/>
            <w:vMerge w:val="continue"/>
            <w:noWrap w:val="0"/>
            <w:vAlign w:val="center"/>
          </w:tcPr>
          <w:p>
            <w:pPr>
              <w:pStyle w:val="25"/>
              <w:spacing w:line="360" w:lineRule="auto"/>
              <w:jc w:val="center"/>
              <w:rPr>
                <w:rFonts w:hint="eastAsia" w:ascii="宋体" w:hAnsi="宋体" w:eastAsia="宋体" w:cs="宋体"/>
                <w:sz w:val="21"/>
                <w:szCs w:val="21"/>
              </w:rPr>
            </w:pPr>
          </w:p>
        </w:tc>
        <w:tc>
          <w:tcPr>
            <w:tcW w:w="2026" w:type="dxa"/>
            <w:vMerge w:val="continue"/>
            <w:noWrap w:val="0"/>
            <w:vAlign w:val="center"/>
          </w:tcPr>
          <w:p>
            <w:pPr>
              <w:pStyle w:val="25"/>
              <w:spacing w:line="360" w:lineRule="auto"/>
              <w:jc w:val="both"/>
              <w:rPr>
                <w:rFonts w:hint="eastAsia" w:ascii="宋体" w:hAnsi="宋体" w:eastAsia="宋体" w:cs="宋体"/>
                <w:sz w:val="21"/>
                <w:szCs w:val="21"/>
              </w:rPr>
            </w:pPr>
          </w:p>
        </w:tc>
        <w:tc>
          <w:tcPr>
            <w:tcW w:w="5562" w:type="dxa"/>
            <w:gridSpan w:val="2"/>
            <w:noWrap w:val="0"/>
            <w:vAlign w:val="center"/>
          </w:tcPr>
          <w:p>
            <w:pPr>
              <w:pStyle w:val="25"/>
              <w:spacing w:line="360" w:lineRule="auto"/>
              <w:ind w:left="108"/>
              <w:jc w:val="both"/>
              <w:rPr>
                <w:rFonts w:hint="eastAsia" w:ascii="宋体" w:hAnsi="宋体" w:eastAsia="宋体" w:cs="宋体"/>
                <w:sz w:val="21"/>
                <w:szCs w:val="21"/>
              </w:rPr>
            </w:pPr>
            <w:r>
              <w:rPr>
                <w:rFonts w:hint="eastAsia" w:ascii="宋体" w:hAnsi="宋体" w:eastAsia="宋体" w:cs="宋体"/>
                <w:sz w:val="21"/>
                <w:szCs w:val="21"/>
              </w:rPr>
              <w:t>确定成交供应商：</w:t>
            </w:r>
          </w:p>
          <w:p>
            <w:pPr>
              <w:pStyle w:val="25"/>
              <w:tabs>
                <w:tab w:val="left" w:pos="3588"/>
              </w:tabs>
              <w:spacing w:before="160" w:line="360" w:lineRule="auto"/>
              <w:ind w:left="108"/>
              <w:jc w:val="both"/>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rPr>
              <w:t>采购人委托磋商小组确定</w:t>
            </w:r>
            <w:r>
              <w:rPr>
                <w:rFonts w:hint="eastAsia" w:ascii="宋体" w:hAnsi="宋体" w:eastAsia="宋体" w:cs="宋体"/>
                <w:sz w:val="21"/>
                <w:szCs w:val="21"/>
              </w:rPr>
              <w:tab/>
            </w:r>
            <w:r>
              <w:rPr>
                <w:rFonts w:hint="eastAsia" w:ascii="宋体" w:hAnsi="宋体" w:eastAsia="宋体" w:cs="宋体"/>
                <w:sz w:val="21"/>
                <w:szCs w:val="21"/>
                <w:lang w:eastAsia="zh-CN"/>
              </w:rPr>
              <w:t>□</w:t>
            </w:r>
            <w:r>
              <w:rPr>
                <w:rFonts w:hint="eastAsia" w:ascii="宋体" w:hAnsi="宋体" w:eastAsia="宋体" w:cs="宋体"/>
                <w:sz w:val="21"/>
                <w:szCs w:val="21"/>
              </w:rPr>
              <w:t>采购人确定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8" w:hRule="atLeast"/>
        </w:trPr>
        <w:tc>
          <w:tcPr>
            <w:tcW w:w="1003" w:type="dxa"/>
            <w:noWrap w:val="0"/>
            <w:vAlign w:val="center"/>
          </w:tcPr>
          <w:p>
            <w:pPr>
              <w:pStyle w:val="25"/>
              <w:numPr>
                <w:ilvl w:val="0"/>
                <w:numId w:val="0"/>
              </w:numPr>
              <w:spacing w:line="360" w:lineRule="auto"/>
              <w:ind w:leftChars="0" w:right="249" w:righ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2.16</w:t>
            </w:r>
          </w:p>
        </w:tc>
        <w:tc>
          <w:tcPr>
            <w:tcW w:w="2026" w:type="dxa"/>
            <w:noWrap w:val="0"/>
            <w:vAlign w:val="center"/>
          </w:tcPr>
          <w:p>
            <w:pPr>
              <w:pStyle w:val="25"/>
              <w:spacing w:before="2" w:line="360" w:lineRule="auto"/>
              <w:ind w:left="107"/>
              <w:jc w:val="both"/>
              <w:rPr>
                <w:rFonts w:hint="eastAsia" w:ascii="宋体" w:hAnsi="宋体" w:eastAsia="宋体" w:cs="宋体"/>
                <w:sz w:val="21"/>
                <w:szCs w:val="21"/>
              </w:rPr>
            </w:pPr>
            <w:r>
              <w:rPr>
                <w:rFonts w:hint="eastAsia" w:ascii="宋体" w:hAnsi="宋体" w:eastAsia="宋体" w:cs="宋体"/>
                <w:sz w:val="21"/>
                <w:szCs w:val="21"/>
              </w:rPr>
              <w:t>成交通知书发出</w:t>
            </w:r>
          </w:p>
          <w:p>
            <w:pPr>
              <w:pStyle w:val="25"/>
              <w:spacing w:before="158" w:line="360" w:lineRule="auto"/>
              <w:ind w:left="107"/>
              <w:jc w:val="both"/>
              <w:rPr>
                <w:rFonts w:hint="eastAsia" w:ascii="宋体" w:hAnsi="宋体" w:eastAsia="宋体" w:cs="宋体"/>
                <w:sz w:val="21"/>
                <w:szCs w:val="21"/>
              </w:rPr>
            </w:pPr>
            <w:r>
              <w:rPr>
                <w:rFonts w:hint="eastAsia" w:ascii="宋体" w:hAnsi="宋体" w:eastAsia="宋体" w:cs="宋体"/>
                <w:sz w:val="21"/>
                <w:szCs w:val="21"/>
              </w:rPr>
              <w:t>的形式</w:t>
            </w:r>
          </w:p>
        </w:tc>
        <w:tc>
          <w:tcPr>
            <w:tcW w:w="5562" w:type="dxa"/>
            <w:gridSpan w:val="2"/>
            <w:noWrap w:val="0"/>
            <w:vAlign w:val="center"/>
          </w:tcPr>
          <w:p>
            <w:pPr>
              <w:pStyle w:val="25"/>
              <w:spacing w:before="5" w:line="360" w:lineRule="auto"/>
              <w:jc w:val="both"/>
              <w:rPr>
                <w:rFonts w:hint="eastAsia" w:ascii="宋体" w:hAnsi="宋体" w:eastAsia="宋体" w:cs="宋体"/>
                <w:sz w:val="21"/>
                <w:szCs w:val="21"/>
              </w:rPr>
            </w:pPr>
          </w:p>
          <w:p>
            <w:pPr>
              <w:pStyle w:val="25"/>
              <w:tabs>
                <w:tab w:val="left" w:pos="1428"/>
              </w:tabs>
              <w:spacing w:line="360" w:lineRule="auto"/>
              <w:ind w:left="108"/>
              <w:jc w:val="both"/>
              <w:rPr>
                <w:rFonts w:hint="eastAsia" w:ascii="宋体" w:hAnsi="宋体" w:eastAsia="宋体" w:cs="宋体"/>
                <w:sz w:val="21"/>
                <w:szCs w:val="21"/>
                <w:lang w:eastAsia="zh-CN"/>
              </w:rPr>
            </w:pPr>
            <w:r>
              <w:rPr>
                <w:rFonts w:hint="eastAsia" w:ascii="宋体" w:hAnsi="宋体" w:eastAsia="宋体" w:cs="宋体"/>
                <w:sz w:val="21"/>
                <w:szCs w:val="21"/>
                <w:lang w:val="en-US" w:eastAsia="zh-CN"/>
              </w:rPr>
              <w:t>书面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trPr>
        <w:tc>
          <w:tcPr>
            <w:tcW w:w="1003" w:type="dxa"/>
            <w:noWrap w:val="0"/>
            <w:vAlign w:val="center"/>
          </w:tcPr>
          <w:p>
            <w:pPr>
              <w:pStyle w:val="25"/>
              <w:numPr>
                <w:ilvl w:val="0"/>
                <w:numId w:val="0"/>
              </w:numPr>
              <w:spacing w:line="360" w:lineRule="auto"/>
              <w:ind w:leftChars="0" w:right="249" w:righ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2.17</w:t>
            </w:r>
          </w:p>
        </w:tc>
        <w:tc>
          <w:tcPr>
            <w:tcW w:w="2026" w:type="dxa"/>
            <w:noWrap w:val="0"/>
            <w:vAlign w:val="center"/>
          </w:tcPr>
          <w:p>
            <w:pPr>
              <w:pStyle w:val="25"/>
              <w:spacing w:line="360" w:lineRule="auto"/>
              <w:ind w:left="107"/>
              <w:jc w:val="both"/>
              <w:rPr>
                <w:rFonts w:hint="eastAsia" w:ascii="宋体" w:hAnsi="宋体" w:eastAsia="宋体" w:cs="宋体"/>
                <w:sz w:val="21"/>
                <w:szCs w:val="21"/>
                <w:lang w:eastAsia="en-US"/>
              </w:rPr>
            </w:pPr>
            <w:r>
              <w:rPr>
                <w:rFonts w:hint="eastAsia" w:ascii="宋体" w:hAnsi="宋体" w:eastAsia="宋体" w:cs="宋体"/>
                <w:sz w:val="21"/>
                <w:szCs w:val="21"/>
                <w:lang w:eastAsia="en-US"/>
              </w:rPr>
              <w:t>告知磋商结果的</w:t>
            </w:r>
          </w:p>
          <w:p>
            <w:pPr>
              <w:pStyle w:val="25"/>
              <w:spacing w:before="158" w:line="360" w:lineRule="auto"/>
              <w:ind w:left="107"/>
              <w:jc w:val="both"/>
              <w:rPr>
                <w:rFonts w:hint="eastAsia" w:ascii="宋体" w:hAnsi="宋体" w:eastAsia="宋体" w:cs="宋体"/>
                <w:sz w:val="21"/>
                <w:szCs w:val="21"/>
                <w:lang w:eastAsia="en-US"/>
              </w:rPr>
            </w:pPr>
            <w:r>
              <w:rPr>
                <w:rFonts w:hint="eastAsia" w:ascii="宋体" w:hAnsi="宋体" w:eastAsia="宋体" w:cs="宋体"/>
                <w:sz w:val="21"/>
                <w:szCs w:val="21"/>
                <w:lang w:eastAsia="en-US"/>
              </w:rPr>
              <w:t>形式</w:t>
            </w:r>
          </w:p>
        </w:tc>
        <w:tc>
          <w:tcPr>
            <w:tcW w:w="5562" w:type="dxa"/>
            <w:gridSpan w:val="2"/>
            <w:noWrap w:val="0"/>
            <w:vAlign w:val="center"/>
          </w:tcPr>
          <w:p>
            <w:pPr>
              <w:pStyle w:val="25"/>
              <w:spacing w:before="158" w:line="360" w:lineRule="auto"/>
              <w:ind w:left="108"/>
              <w:jc w:val="both"/>
              <w:rPr>
                <w:rFonts w:hint="eastAsia" w:ascii="宋体" w:hAnsi="宋体" w:eastAsia="宋体" w:cs="宋体"/>
                <w:sz w:val="21"/>
                <w:szCs w:val="21"/>
                <w:lang w:val="en-US" w:eastAsia="zh-CN"/>
              </w:rPr>
            </w:pPr>
            <w:r>
              <w:rPr>
                <w:rFonts w:hint="eastAsia" w:cs="宋体"/>
                <w:sz w:val="21"/>
                <w:szCs w:val="21"/>
                <w:lang w:val="en-US" w:eastAsia="zh-CN"/>
              </w:rPr>
              <w:t>供应商</w:t>
            </w:r>
            <w:r>
              <w:rPr>
                <w:rFonts w:hint="eastAsia" w:ascii="宋体" w:hAnsi="宋体" w:eastAsia="宋体" w:cs="宋体"/>
                <w:sz w:val="21"/>
                <w:szCs w:val="21"/>
              </w:rPr>
              <w:t>自行登录</w:t>
            </w:r>
            <w:r>
              <w:rPr>
                <w:rFonts w:hint="eastAsia" w:ascii="宋体" w:hAnsi="宋体" w:eastAsia="宋体" w:cs="宋体"/>
                <w:sz w:val="21"/>
                <w:szCs w:val="21"/>
                <w:lang w:eastAsia="zh-CN"/>
              </w:rPr>
              <w:t>《界首市人民政府网》、《</w:t>
            </w:r>
            <w:r>
              <w:rPr>
                <w:rFonts w:hint="eastAsia" w:ascii="宋体" w:hAnsi="宋体" w:eastAsia="宋体" w:cs="宋体"/>
                <w:sz w:val="21"/>
                <w:szCs w:val="21"/>
                <w:lang w:val="en-US" w:eastAsia="zh-CN"/>
              </w:rPr>
              <w:t>农业全程网》</w:t>
            </w:r>
            <w:r>
              <w:rPr>
                <w:rFonts w:hint="eastAsia" w:ascii="宋体" w:hAnsi="宋体" w:eastAsia="宋体" w:cs="宋体"/>
                <w:sz w:val="21"/>
                <w:szCs w:val="21"/>
              </w:rPr>
              <w:t>查看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trPr>
        <w:tc>
          <w:tcPr>
            <w:tcW w:w="1003" w:type="dxa"/>
            <w:noWrap w:val="0"/>
            <w:vAlign w:val="center"/>
          </w:tcPr>
          <w:p>
            <w:pPr>
              <w:pStyle w:val="25"/>
              <w:numPr>
                <w:ilvl w:val="0"/>
                <w:numId w:val="0"/>
              </w:numPr>
              <w:spacing w:before="168" w:line="360" w:lineRule="auto"/>
              <w:ind w:leftChars="0" w:right="249" w:righ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2.18</w:t>
            </w:r>
          </w:p>
        </w:tc>
        <w:tc>
          <w:tcPr>
            <w:tcW w:w="2026" w:type="dxa"/>
            <w:noWrap w:val="0"/>
            <w:vAlign w:val="center"/>
          </w:tcPr>
          <w:p>
            <w:pPr>
              <w:spacing w:line="400" w:lineRule="exact"/>
              <w:jc w:val="center"/>
              <w:rPr>
                <w:rFonts w:hint="eastAsia" w:ascii="宋体" w:hAnsi="宋体" w:eastAsia="宋体" w:cs="宋体"/>
                <w:sz w:val="21"/>
                <w:szCs w:val="21"/>
                <w:lang w:eastAsia="en-US"/>
              </w:rPr>
            </w:pPr>
            <w:r>
              <w:rPr>
                <w:rFonts w:hint="eastAsia" w:ascii="宋体" w:hAnsi="宋体" w:eastAsia="宋体" w:cs="宋体"/>
                <w:sz w:val="21"/>
                <w:szCs w:val="21"/>
                <w:lang w:val="zh-CN" w:eastAsia="en-US" w:bidi="zh-CN"/>
              </w:rPr>
              <w:t>履约保证金</w:t>
            </w:r>
          </w:p>
        </w:tc>
        <w:tc>
          <w:tcPr>
            <w:tcW w:w="5562" w:type="dxa"/>
            <w:gridSpan w:val="2"/>
            <w:noWrap w:val="0"/>
            <w:vAlign w:val="center"/>
          </w:tcPr>
          <w:p>
            <w:pPr>
              <w:adjustRightInd w:val="0"/>
              <w:snapToGrid w:val="0"/>
              <w:spacing w:before="48" w:beforeLines="20" w:after="48" w:afterLines="20"/>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免收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trPr>
        <w:tc>
          <w:tcPr>
            <w:tcW w:w="1003" w:type="dxa"/>
            <w:noWrap w:val="0"/>
            <w:vAlign w:val="center"/>
          </w:tcPr>
          <w:p>
            <w:pPr>
              <w:pStyle w:val="25"/>
              <w:numPr>
                <w:ilvl w:val="0"/>
                <w:numId w:val="0"/>
              </w:numPr>
              <w:spacing w:line="360" w:lineRule="auto"/>
              <w:ind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2.19</w:t>
            </w:r>
          </w:p>
        </w:tc>
        <w:tc>
          <w:tcPr>
            <w:tcW w:w="2026" w:type="dxa"/>
            <w:noWrap w:val="0"/>
            <w:vAlign w:val="top"/>
          </w:tcPr>
          <w:p>
            <w:pPr>
              <w:pStyle w:val="25"/>
              <w:spacing w:before="95"/>
              <w:rPr>
                <w:rFonts w:hint="eastAsia" w:ascii="宋体" w:hAnsi="宋体" w:eastAsia="宋体" w:cs="宋体"/>
                <w:sz w:val="21"/>
                <w:szCs w:val="21"/>
              </w:rPr>
            </w:pPr>
          </w:p>
          <w:p>
            <w:pPr>
              <w:pStyle w:val="25"/>
              <w:spacing w:before="95"/>
              <w:rPr>
                <w:rFonts w:hint="eastAsia" w:ascii="宋体" w:hAnsi="宋体" w:eastAsia="宋体" w:cs="宋体"/>
                <w:sz w:val="21"/>
                <w:szCs w:val="21"/>
                <w:lang w:eastAsia="en-US"/>
              </w:rPr>
            </w:pPr>
            <w:r>
              <w:rPr>
                <w:rFonts w:hint="eastAsia" w:ascii="宋体" w:hAnsi="宋体" w:eastAsia="宋体" w:cs="宋体"/>
                <w:sz w:val="21"/>
                <w:szCs w:val="21"/>
                <w:lang w:eastAsia="en-US"/>
              </w:rPr>
              <w:t>成交服务费</w:t>
            </w:r>
          </w:p>
        </w:tc>
        <w:tc>
          <w:tcPr>
            <w:tcW w:w="5562" w:type="dxa"/>
            <w:gridSpan w:val="2"/>
            <w:noWrap w:val="0"/>
            <w:vAlign w:val="center"/>
          </w:tcPr>
          <w:p>
            <w:pPr>
              <w:autoSpaceDE/>
              <w:autoSpaceDN/>
              <w:adjustRightInd w:val="0"/>
              <w:snapToGrid w:val="0"/>
              <w:spacing w:after="120" w:line="480" w:lineRule="exact"/>
              <w:jc w:val="both"/>
              <w:rPr>
                <w:rFonts w:hint="eastAsia" w:ascii="宋体" w:hAnsi="宋体" w:eastAsia="宋体" w:cs="宋体"/>
                <w:kern w:val="0"/>
                <w:sz w:val="21"/>
                <w:szCs w:val="21"/>
              </w:rPr>
            </w:pPr>
            <w:r>
              <w:rPr>
                <w:rFonts w:hint="eastAsia" w:ascii="宋体" w:hAnsi="宋体" w:eastAsia="宋体" w:cs="宋体"/>
                <w:kern w:val="0"/>
                <w:sz w:val="21"/>
                <w:szCs w:val="21"/>
              </w:rPr>
              <w:t>代理服务费：</w:t>
            </w:r>
            <w:r>
              <w:rPr>
                <w:rFonts w:hint="eastAsia" w:ascii="宋体" w:hAnsi="宋体" w:eastAsia="宋体" w:cs="宋体"/>
                <w:kern w:val="0"/>
                <w:sz w:val="21"/>
                <w:szCs w:val="21"/>
                <w:lang w:val="en-US" w:eastAsia="zh-CN"/>
              </w:rPr>
              <w:t>4000元</w:t>
            </w:r>
            <w:r>
              <w:rPr>
                <w:rFonts w:hint="eastAsia" w:ascii="宋体" w:hAnsi="宋体" w:eastAsia="宋体" w:cs="宋体"/>
                <w:kern w:val="0"/>
                <w:sz w:val="21"/>
                <w:szCs w:val="21"/>
              </w:rPr>
              <w:t>。</w:t>
            </w:r>
          </w:p>
          <w:p>
            <w:pPr>
              <w:autoSpaceDE/>
              <w:autoSpaceDN/>
              <w:adjustRightInd w:val="0"/>
              <w:snapToGrid w:val="0"/>
              <w:spacing w:after="120" w:line="480" w:lineRule="exact"/>
              <w:jc w:val="both"/>
              <w:rPr>
                <w:rFonts w:hint="eastAsia" w:ascii="宋体" w:hAnsi="宋体" w:eastAsia="宋体" w:cs="宋体"/>
                <w:kern w:val="0"/>
                <w:sz w:val="21"/>
                <w:szCs w:val="21"/>
              </w:rPr>
            </w:pPr>
            <w:r>
              <w:rPr>
                <w:rFonts w:hint="eastAsia" w:ascii="宋体" w:hAnsi="宋体" w:eastAsia="宋体" w:cs="宋体"/>
                <w:kern w:val="0"/>
                <w:sz w:val="21"/>
                <w:szCs w:val="21"/>
              </w:rPr>
              <w:t>以上费用，不单独列出，供应商自行考虑，含在投标报价中，在领取中标通知书时一次性支付。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94" w:type="dxa"/>
          <w:trHeight w:val="2800" w:hRule="atLeast"/>
        </w:trPr>
        <w:tc>
          <w:tcPr>
            <w:tcW w:w="1003" w:type="dxa"/>
            <w:noWrap w:val="0"/>
            <w:vAlign w:val="center"/>
          </w:tcPr>
          <w:p>
            <w:pPr>
              <w:pStyle w:val="25"/>
              <w:numPr>
                <w:ilvl w:val="0"/>
                <w:numId w:val="0"/>
              </w:numPr>
              <w:spacing w:line="360" w:lineRule="auto"/>
              <w:ind w:leftChars="0" w:right="489" w:righ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2.20</w:t>
            </w:r>
          </w:p>
        </w:tc>
        <w:tc>
          <w:tcPr>
            <w:tcW w:w="2026" w:type="dxa"/>
            <w:noWrap w:val="0"/>
            <w:vAlign w:val="center"/>
          </w:tcPr>
          <w:p>
            <w:pPr>
              <w:pStyle w:val="25"/>
              <w:spacing w:line="360" w:lineRule="auto"/>
              <w:jc w:val="both"/>
              <w:rPr>
                <w:rFonts w:hint="eastAsia" w:ascii="宋体" w:hAnsi="宋体" w:eastAsia="宋体" w:cs="宋体"/>
                <w:sz w:val="21"/>
                <w:szCs w:val="21"/>
                <w:lang w:eastAsia="en-US"/>
              </w:rPr>
            </w:pPr>
            <w:r>
              <w:rPr>
                <w:rFonts w:hint="eastAsia" w:ascii="宋体" w:hAnsi="宋体" w:eastAsia="宋体" w:cs="宋体"/>
                <w:sz w:val="21"/>
                <w:szCs w:val="21"/>
                <w:lang w:eastAsia="en-US"/>
              </w:rPr>
              <w:t>解释权</w:t>
            </w:r>
          </w:p>
        </w:tc>
        <w:tc>
          <w:tcPr>
            <w:tcW w:w="5468" w:type="dxa"/>
            <w:noWrap w:val="0"/>
            <w:vAlign w:val="center"/>
          </w:tcPr>
          <w:p>
            <w:pPr>
              <w:pStyle w:val="25"/>
              <w:spacing w:before="16" w:line="360" w:lineRule="auto"/>
              <w:ind w:left="108"/>
              <w:jc w:val="both"/>
              <w:rPr>
                <w:rFonts w:hint="eastAsia" w:ascii="宋体" w:hAnsi="宋体" w:eastAsia="宋体" w:cs="宋体"/>
                <w:sz w:val="21"/>
                <w:szCs w:val="21"/>
              </w:rPr>
            </w:pPr>
            <w:r>
              <w:rPr>
                <w:rFonts w:hint="eastAsia" w:cs="宋体"/>
                <w:sz w:val="21"/>
                <w:szCs w:val="21"/>
                <w:lang w:eastAsia="zh-CN"/>
              </w:rPr>
              <w:t>（</w:t>
            </w:r>
            <w:r>
              <w:rPr>
                <w:rFonts w:hint="eastAsia" w:cs="宋体"/>
                <w:sz w:val="21"/>
                <w:szCs w:val="21"/>
                <w:lang w:val="en-US" w:eastAsia="zh-CN"/>
              </w:rPr>
              <w:t>1）</w:t>
            </w:r>
            <w:r>
              <w:rPr>
                <w:rFonts w:hint="eastAsia" w:ascii="宋体" w:hAnsi="宋体" w:eastAsia="宋体" w:cs="宋体"/>
                <w:sz w:val="21"/>
                <w:szCs w:val="21"/>
              </w:rPr>
              <w:t>构成本磋商文件的各个组成文件应互为解释，互为说明；</w:t>
            </w:r>
          </w:p>
          <w:p>
            <w:pPr>
              <w:pStyle w:val="25"/>
              <w:spacing w:before="16" w:line="360" w:lineRule="auto"/>
              <w:ind w:left="108"/>
              <w:jc w:val="both"/>
              <w:rPr>
                <w:rFonts w:hint="eastAsia" w:ascii="宋体" w:hAnsi="宋体" w:eastAsia="宋体" w:cs="宋体"/>
                <w:sz w:val="21"/>
                <w:szCs w:val="21"/>
              </w:rPr>
            </w:pPr>
            <w:r>
              <w:rPr>
                <w:rFonts w:hint="eastAsia" w:cs="宋体"/>
                <w:sz w:val="21"/>
                <w:szCs w:val="21"/>
                <w:lang w:eastAsia="zh-CN"/>
              </w:rPr>
              <w:t>（</w:t>
            </w:r>
            <w:r>
              <w:rPr>
                <w:rFonts w:hint="eastAsia" w:cs="宋体"/>
                <w:sz w:val="21"/>
                <w:szCs w:val="21"/>
                <w:lang w:val="en-US" w:eastAsia="zh-CN"/>
              </w:rPr>
              <w:t>2）</w:t>
            </w:r>
            <w:r>
              <w:rPr>
                <w:rFonts w:hint="eastAsia" w:ascii="宋体" w:hAnsi="宋体" w:eastAsia="宋体" w:cs="宋体"/>
                <w:sz w:val="21"/>
                <w:szCs w:val="21"/>
              </w:rPr>
              <w:t>同一组成文件中就同一事项的规定或约定不一致的，以编排顺序在后者为准；</w:t>
            </w:r>
          </w:p>
          <w:p>
            <w:pPr>
              <w:pStyle w:val="25"/>
              <w:spacing w:before="16" w:line="360" w:lineRule="auto"/>
              <w:ind w:left="108"/>
              <w:jc w:val="both"/>
              <w:rPr>
                <w:rFonts w:hint="eastAsia" w:ascii="宋体" w:hAnsi="宋体" w:eastAsia="宋体" w:cs="宋体"/>
                <w:sz w:val="21"/>
                <w:szCs w:val="21"/>
              </w:rPr>
            </w:pPr>
            <w:r>
              <w:rPr>
                <w:rFonts w:hint="default" w:ascii="宋体" w:hAnsi="宋体" w:eastAsia="宋体" w:cs="宋体"/>
                <w:sz w:val="21"/>
                <w:szCs w:val="21"/>
                <w:lang w:val="zh-CN" w:eastAsia="zh-CN"/>
              </w:rPr>
              <w:t>（</w:t>
            </w:r>
            <w:r>
              <w:rPr>
                <w:rFonts w:hint="eastAsia" w:ascii="宋体" w:hAnsi="宋体" w:eastAsia="宋体" w:cs="宋体"/>
                <w:sz w:val="21"/>
                <w:szCs w:val="21"/>
                <w:lang w:val="en-US" w:eastAsia="zh-CN"/>
              </w:rPr>
              <w:t>3</w:t>
            </w:r>
            <w:r>
              <w:rPr>
                <w:rFonts w:hint="default" w:ascii="宋体" w:hAnsi="宋体" w:eastAsia="宋体" w:cs="宋体"/>
                <w:sz w:val="21"/>
                <w:szCs w:val="21"/>
                <w:lang w:val="zh-CN" w:eastAsia="zh-CN"/>
              </w:rPr>
              <w:t>）</w:t>
            </w:r>
            <w:r>
              <w:rPr>
                <w:rFonts w:hint="eastAsia" w:ascii="宋体" w:hAnsi="宋体" w:eastAsia="宋体" w:cs="宋体"/>
                <w:sz w:val="21"/>
                <w:szCs w:val="21"/>
              </w:rPr>
              <w:t>如有不明确或不一致，构成合同文件组成内容的，以合同文件约定内容为准，且以专用合同条款约定的合同文件优先顺序解释；</w:t>
            </w:r>
          </w:p>
          <w:p>
            <w:pPr>
              <w:pStyle w:val="25"/>
              <w:spacing w:before="16" w:line="360" w:lineRule="auto"/>
              <w:ind w:left="108"/>
              <w:jc w:val="both"/>
              <w:rPr>
                <w:rFonts w:hint="eastAsia" w:ascii="宋体" w:hAnsi="宋体" w:eastAsia="宋体" w:cs="宋体"/>
                <w:sz w:val="21"/>
                <w:szCs w:val="21"/>
              </w:rPr>
            </w:pPr>
            <w:r>
              <w:rPr>
                <w:rFonts w:hint="default" w:ascii="宋体" w:hAnsi="宋体" w:eastAsia="宋体" w:cs="宋体"/>
                <w:sz w:val="21"/>
                <w:szCs w:val="21"/>
                <w:lang w:val="zh-CN" w:eastAsia="zh-CN"/>
              </w:rPr>
              <w:t>（</w:t>
            </w:r>
            <w:r>
              <w:rPr>
                <w:rFonts w:hint="eastAsia" w:ascii="宋体" w:hAnsi="宋体" w:eastAsia="宋体" w:cs="宋体"/>
                <w:sz w:val="21"/>
                <w:szCs w:val="21"/>
                <w:lang w:val="en-US" w:eastAsia="zh-CN"/>
              </w:rPr>
              <w:t>4</w:t>
            </w:r>
            <w:r>
              <w:rPr>
                <w:rFonts w:hint="default" w:ascii="宋体" w:hAnsi="宋体" w:eastAsia="宋体" w:cs="宋体"/>
                <w:sz w:val="21"/>
                <w:szCs w:val="21"/>
                <w:lang w:val="zh-CN" w:eastAsia="zh-CN"/>
              </w:rPr>
              <w:t>）</w:t>
            </w:r>
            <w:r>
              <w:rPr>
                <w:rFonts w:hint="eastAsia" w:ascii="宋体" w:hAnsi="宋体" w:eastAsia="宋体" w:cs="宋体"/>
                <w:sz w:val="21"/>
                <w:szCs w:val="21"/>
              </w:rPr>
              <w:t>除磋商文件中有特别规定外，仅适用于磋商及响应文件提交阶段的规定，按磋商公告、供应商须知、评审方法和标准、响应文件格式的先后顺序解释；</w:t>
            </w:r>
          </w:p>
          <w:p>
            <w:pPr>
              <w:pStyle w:val="25"/>
              <w:spacing w:before="16" w:line="360" w:lineRule="auto"/>
              <w:ind w:left="108"/>
              <w:jc w:val="both"/>
              <w:rPr>
                <w:rFonts w:hint="eastAsia" w:ascii="宋体" w:hAnsi="宋体" w:eastAsia="宋体" w:cs="宋体"/>
                <w:sz w:val="21"/>
                <w:szCs w:val="21"/>
              </w:rPr>
            </w:pPr>
            <w:r>
              <w:rPr>
                <w:rFonts w:hint="default" w:ascii="宋体" w:hAnsi="宋体" w:eastAsia="宋体" w:cs="宋体"/>
                <w:sz w:val="21"/>
                <w:szCs w:val="21"/>
                <w:lang w:val="zh-CN" w:eastAsia="zh-CN"/>
              </w:rPr>
              <w:t>（</w:t>
            </w:r>
            <w:r>
              <w:rPr>
                <w:rFonts w:hint="eastAsia" w:ascii="宋体" w:hAnsi="宋体" w:eastAsia="宋体" w:cs="宋体"/>
                <w:sz w:val="21"/>
                <w:szCs w:val="21"/>
                <w:lang w:val="en-US" w:eastAsia="zh-CN"/>
              </w:rPr>
              <w:t>5</w:t>
            </w:r>
            <w:r>
              <w:rPr>
                <w:rFonts w:hint="default" w:ascii="宋体" w:hAnsi="宋体" w:eastAsia="宋体" w:cs="宋体"/>
                <w:sz w:val="21"/>
                <w:szCs w:val="21"/>
                <w:lang w:val="zh-CN" w:eastAsia="zh-CN"/>
              </w:rPr>
              <w:t>）</w:t>
            </w:r>
            <w:r>
              <w:rPr>
                <w:rFonts w:hint="eastAsia" w:ascii="宋体" w:hAnsi="宋体" w:eastAsia="宋体" w:cs="宋体"/>
                <w:sz w:val="21"/>
                <w:szCs w:val="21"/>
              </w:rPr>
              <w:t>按本款前述规定仍不能形成结论的，由采购人负责解释。</w:t>
            </w:r>
          </w:p>
        </w:tc>
      </w:tr>
    </w:tbl>
    <w:p>
      <w:pPr>
        <w:pStyle w:val="11"/>
        <w:spacing w:before="9"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sectPr>
          <w:footerReference r:id="rId3" w:type="default"/>
          <w:pgSz w:w="11910" w:h="16850"/>
          <w:pgMar w:top="1400" w:right="1240" w:bottom="1460" w:left="1240" w:header="877" w:footer="1266" w:gutter="0"/>
          <w:pgNumType w:fmt="decimal" w:start="1"/>
          <w:cols w:space="720" w:num="1"/>
        </w:sectPr>
      </w:pPr>
    </w:p>
    <w:p>
      <w:pPr>
        <w:pStyle w:val="9"/>
        <w:spacing w:before="56"/>
        <w:ind w:left="1707" w:right="1700"/>
        <w:jc w:val="center"/>
        <w:rPr>
          <w:rFonts w:ascii="宋体" w:hAnsi="宋体"/>
          <w:sz w:val="32"/>
        </w:rPr>
      </w:pPr>
      <w:r>
        <w:rPr>
          <w:rFonts w:ascii="宋体" w:hAnsi="宋体"/>
          <w:sz w:val="32"/>
        </w:rPr>
        <w:t>二、供应商须知正文</w:t>
      </w:r>
    </w:p>
    <w:p>
      <w:pPr>
        <w:pStyle w:val="9"/>
        <w:keepNext w:val="0"/>
        <w:keepLines w:val="0"/>
        <w:numPr>
          <w:ilvl w:val="0"/>
          <w:numId w:val="1"/>
        </w:numPr>
        <w:tabs>
          <w:tab w:val="left" w:pos="1255"/>
        </w:tabs>
        <w:autoSpaceDE w:val="0"/>
        <w:autoSpaceDN w:val="0"/>
        <w:spacing w:before="160" w:after="0" w:line="360" w:lineRule="auto"/>
        <w:rPr>
          <w:rFonts w:ascii="宋体" w:hAnsi="宋体"/>
          <w:sz w:val="21"/>
          <w:szCs w:val="21"/>
        </w:rPr>
      </w:pPr>
      <w:r>
        <w:rPr>
          <w:rFonts w:ascii="宋体" w:hAnsi="宋体"/>
          <w:sz w:val="21"/>
          <w:szCs w:val="21"/>
        </w:rPr>
        <w:t>适用范围</w:t>
      </w:r>
    </w:p>
    <w:p>
      <w:pPr>
        <w:pStyle w:val="26"/>
        <w:numPr>
          <w:ilvl w:val="1"/>
          <w:numId w:val="1"/>
        </w:numPr>
        <w:tabs>
          <w:tab w:val="left" w:pos="1430"/>
        </w:tabs>
        <w:autoSpaceDE w:val="0"/>
        <w:autoSpaceDN w:val="0"/>
        <w:spacing w:before="159" w:line="360" w:lineRule="auto"/>
        <w:ind w:right="2475" w:hanging="3" w:firstLineChars="0"/>
        <w:rPr>
          <w:rFonts w:ascii="宋体" w:hAnsi="宋体"/>
          <w:b/>
          <w:szCs w:val="21"/>
        </w:rPr>
      </w:pPr>
      <w:r>
        <w:rPr>
          <w:rFonts w:ascii="宋体" w:hAnsi="宋体"/>
          <w:szCs w:val="21"/>
        </w:rPr>
        <w:t>本磋商文件仅适用于本次磋商所述的货物项目采购。</w:t>
      </w:r>
    </w:p>
    <w:p>
      <w:pPr>
        <w:pStyle w:val="26"/>
        <w:tabs>
          <w:tab w:val="left" w:pos="1430"/>
        </w:tabs>
        <w:autoSpaceDE w:val="0"/>
        <w:autoSpaceDN w:val="0"/>
        <w:spacing w:before="159" w:line="360" w:lineRule="auto"/>
        <w:ind w:left="1011" w:right="2475" w:firstLine="0" w:firstLineChars="0"/>
        <w:rPr>
          <w:rFonts w:ascii="宋体" w:hAnsi="宋体"/>
          <w:b/>
          <w:szCs w:val="21"/>
        </w:rPr>
      </w:pPr>
      <w:r>
        <w:rPr>
          <w:rFonts w:ascii="宋体" w:hAnsi="宋体"/>
          <w:b/>
          <w:szCs w:val="21"/>
        </w:rPr>
        <w:t>2.定义</w:t>
      </w:r>
    </w:p>
    <w:p>
      <w:pPr>
        <w:pStyle w:val="26"/>
        <w:numPr>
          <w:ilvl w:val="1"/>
          <w:numId w:val="2"/>
        </w:numPr>
        <w:tabs>
          <w:tab w:val="left" w:pos="1430"/>
        </w:tabs>
        <w:autoSpaceDE w:val="0"/>
        <w:autoSpaceDN w:val="0"/>
        <w:spacing w:line="360" w:lineRule="auto"/>
        <w:ind w:hanging="421" w:firstLineChars="0"/>
        <w:rPr>
          <w:rFonts w:ascii="宋体" w:hAnsi="宋体"/>
          <w:szCs w:val="21"/>
        </w:rPr>
      </w:pPr>
      <w:r>
        <w:rPr>
          <w:rFonts w:ascii="宋体" w:hAnsi="宋体"/>
          <w:szCs w:val="21"/>
        </w:rPr>
        <w:t>货物：是指各种形态和种类的物品，包括原材料、燃料、设备、产品等。</w:t>
      </w:r>
    </w:p>
    <w:p>
      <w:pPr>
        <w:pStyle w:val="26"/>
        <w:numPr>
          <w:ilvl w:val="1"/>
          <w:numId w:val="2"/>
        </w:numPr>
        <w:tabs>
          <w:tab w:val="left" w:pos="1430"/>
        </w:tabs>
        <w:autoSpaceDE w:val="0"/>
        <w:autoSpaceDN w:val="0"/>
        <w:spacing w:before="160" w:line="360" w:lineRule="auto"/>
        <w:ind w:left="574" w:right="570" w:firstLine="434" w:firstLineChars="0"/>
        <w:rPr>
          <w:rFonts w:ascii="宋体" w:hAnsi="宋体"/>
          <w:szCs w:val="21"/>
        </w:rPr>
      </w:pPr>
      <w:r>
        <w:rPr>
          <w:rFonts w:ascii="宋体" w:hAnsi="宋体"/>
          <w:szCs w:val="21"/>
        </w:rPr>
        <w:t>时限（年份、月份等）计算：系指从磋商之日向前追溯 X 年/月（“X” 为“一”及以后整数）起算。</w:t>
      </w:r>
    </w:p>
    <w:p>
      <w:pPr>
        <w:pStyle w:val="26"/>
        <w:numPr>
          <w:ilvl w:val="1"/>
          <w:numId w:val="2"/>
        </w:numPr>
        <w:tabs>
          <w:tab w:val="left" w:pos="1430"/>
        </w:tabs>
        <w:autoSpaceDE w:val="0"/>
        <w:autoSpaceDN w:val="0"/>
        <w:spacing w:before="6" w:line="360" w:lineRule="auto"/>
        <w:ind w:left="574" w:right="568" w:firstLine="434" w:firstLineChars="0"/>
        <w:rPr>
          <w:rFonts w:ascii="宋体" w:hAnsi="宋体"/>
          <w:szCs w:val="21"/>
        </w:rPr>
      </w:pPr>
      <w:r>
        <w:rPr>
          <w:rFonts w:ascii="宋体" w:hAnsi="宋体"/>
          <w:szCs w:val="21"/>
        </w:rPr>
        <w:t>业绩：除非本磋商文件中另有规定，业绩系指符合本磋商文件规定且已供货（安装）完毕的与最终用户签订的合同。供应商与其关联公司（如母公司、控股公司、分公司、子公司、同一法定代表人的公司等）之间签订的合同，均不予认可。</w:t>
      </w:r>
    </w:p>
    <w:p>
      <w:pPr>
        <w:pStyle w:val="11"/>
        <w:spacing w:line="360" w:lineRule="auto"/>
        <w:ind w:left="574" w:right="496" w:firstLine="434"/>
        <w:rPr>
          <w:sz w:val="21"/>
          <w:szCs w:val="21"/>
        </w:rPr>
      </w:pPr>
      <w:r>
        <w:rPr>
          <w:sz w:val="21"/>
          <w:szCs w:val="21"/>
        </w:rPr>
        <w:t>除非本磋商文件中另有规定，否则业绩均为已供货（安装）完毕的业绩，业绩时间均以合同签订之日为追溯节点。</w:t>
      </w:r>
    </w:p>
    <w:p>
      <w:pPr>
        <w:pStyle w:val="9"/>
        <w:keepNext w:val="0"/>
        <w:keepLines w:val="0"/>
        <w:numPr>
          <w:ilvl w:val="0"/>
          <w:numId w:val="3"/>
        </w:numPr>
        <w:tabs>
          <w:tab w:val="left" w:pos="1255"/>
        </w:tabs>
        <w:autoSpaceDE w:val="0"/>
        <w:autoSpaceDN w:val="0"/>
        <w:spacing w:before="0" w:after="0" w:line="360" w:lineRule="auto"/>
        <w:rPr>
          <w:rFonts w:ascii="宋体" w:hAnsi="宋体"/>
          <w:sz w:val="21"/>
          <w:szCs w:val="21"/>
        </w:rPr>
      </w:pPr>
      <w:r>
        <w:rPr>
          <w:rFonts w:ascii="宋体" w:hAnsi="宋体"/>
          <w:sz w:val="21"/>
          <w:szCs w:val="21"/>
        </w:rPr>
        <w:t>采购人、采购代理机构及供应商</w:t>
      </w:r>
    </w:p>
    <w:p>
      <w:pPr>
        <w:pStyle w:val="26"/>
        <w:numPr>
          <w:ilvl w:val="1"/>
          <w:numId w:val="3"/>
        </w:numPr>
        <w:tabs>
          <w:tab w:val="left" w:pos="1430"/>
        </w:tabs>
        <w:autoSpaceDE w:val="0"/>
        <w:autoSpaceDN w:val="0"/>
        <w:spacing w:before="158" w:line="360" w:lineRule="auto"/>
        <w:ind w:right="570" w:firstLine="434" w:firstLineChars="0"/>
        <w:rPr>
          <w:rFonts w:ascii="宋体" w:hAnsi="宋体"/>
          <w:szCs w:val="21"/>
        </w:rPr>
      </w:pPr>
      <w:r>
        <w:rPr>
          <w:rFonts w:ascii="宋体" w:hAnsi="宋体"/>
          <w:szCs w:val="21"/>
        </w:rPr>
        <w:t>采购人：是指依法开展政府采购活动的国家机关、事业单位、团体组织。本项目的采购人见</w:t>
      </w:r>
      <w:r>
        <w:rPr>
          <w:rFonts w:ascii="宋体" w:hAnsi="宋体"/>
          <w:szCs w:val="21"/>
          <w:u w:val="single"/>
        </w:rPr>
        <w:t>供应商须知前附表</w:t>
      </w:r>
      <w:r>
        <w:rPr>
          <w:rFonts w:ascii="宋体" w:hAnsi="宋体"/>
          <w:szCs w:val="21"/>
        </w:rPr>
        <w:t>。</w:t>
      </w:r>
    </w:p>
    <w:p>
      <w:pPr>
        <w:pStyle w:val="26"/>
        <w:numPr>
          <w:ilvl w:val="1"/>
          <w:numId w:val="3"/>
        </w:numPr>
        <w:tabs>
          <w:tab w:val="left" w:pos="1413"/>
        </w:tabs>
        <w:autoSpaceDE w:val="0"/>
        <w:autoSpaceDN w:val="0"/>
        <w:spacing w:before="5" w:line="360" w:lineRule="auto"/>
        <w:ind w:right="453" w:firstLine="434" w:firstLineChars="0"/>
        <w:rPr>
          <w:rFonts w:ascii="宋体" w:hAnsi="宋体"/>
          <w:szCs w:val="21"/>
        </w:rPr>
      </w:pPr>
      <w:r>
        <w:rPr>
          <w:rFonts w:ascii="宋体" w:hAnsi="宋体"/>
          <w:szCs w:val="21"/>
        </w:rPr>
        <w:t>采购代理机构：是指集中采购机构或从事采购代理业务的社会中介机构。本项目的采购代理机构见</w:t>
      </w:r>
      <w:r>
        <w:rPr>
          <w:rFonts w:ascii="宋体" w:hAnsi="宋体"/>
          <w:szCs w:val="21"/>
          <w:u w:val="single"/>
        </w:rPr>
        <w:t>供应商须知前附表</w:t>
      </w:r>
      <w:r>
        <w:rPr>
          <w:rFonts w:ascii="宋体" w:hAnsi="宋体"/>
          <w:szCs w:val="21"/>
        </w:rPr>
        <w:t>。</w:t>
      </w:r>
    </w:p>
    <w:p>
      <w:pPr>
        <w:pStyle w:val="26"/>
        <w:numPr>
          <w:ilvl w:val="1"/>
          <w:numId w:val="3"/>
        </w:numPr>
        <w:tabs>
          <w:tab w:val="left" w:pos="1430"/>
        </w:tabs>
        <w:autoSpaceDE w:val="0"/>
        <w:autoSpaceDN w:val="0"/>
        <w:spacing w:before="5" w:line="360" w:lineRule="auto"/>
        <w:ind w:right="566" w:firstLine="434" w:firstLineChars="0"/>
        <w:rPr>
          <w:rFonts w:ascii="宋体" w:hAnsi="宋体"/>
          <w:szCs w:val="21"/>
        </w:rPr>
      </w:pPr>
      <w:r>
        <w:rPr>
          <w:rFonts w:ascii="宋体" w:hAnsi="宋体"/>
          <w:szCs w:val="21"/>
        </w:rPr>
        <w:t>政府采购监督管理部门：各级人民政府指定的有关部门依法履行与政府采购活动有关的监督管理职责。本项目的政府采购监督管理部门见</w:t>
      </w:r>
      <w:r>
        <w:rPr>
          <w:rFonts w:ascii="宋体" w:hAnsi="宋体"/>
          <w:szCs w:val="21"/>
          <w:u w:val="single"/>
        </w:rPr>
        <w:t>供应商须知前附表</w:t>
      </w:r>
      <w:r>
        <w:rPr>
          <w:rFonts w:ascii="宋体" w:hAnsi="宋体"/>
          <w:szCs w:val="21"/>
        </w:rPr>
        <w:t>。</w:t>
      </w:r>
    </w:p>
    <w:p>
      <w:pPr>
        <w:pStyle w:val="26"/>
        <w:numPr>
          <w:ilvl w:val="1"/>
          <w:numId w:val="3"/>
        </w:numPr>
        <w:tabs>
          <w:tab w:val="left" w:pos="1430"/>
        </w:tabs>
        <w:autoSpaceDE w:val="0"/>
        <w:autoSpaceDN w:val="0"/>
        <w:spacing w:line="360" w:lineRule="auto"/>
        <w:ind w:right="569" w:firstLine="434" w:firstLineChars="0"/>
        <w:rPr>
          <w:rFonts w:ascii="宋体" w:hAnsi="宋体"/>
          <w:szCs w:val="21"/>
        </w:rPr>
      </w:pPr>
      <w:r>
        <w:rPr>
          <w:rFonts w:ascii="宋体" w:hAnsi="宋体"/>
          <w:szCs w:val="21"/>
        </w:rPr>
        <w:t>供应商：是指向采购人提供货物、工程或者服务的法人、非法人组织或者自然人。分支机构不得参加政府采购活动，但银行、保险、石油石化、电力、电信等特殊行业除外。本项目的供应商及其所投货物须满足以下条件：</w:t>
      </w:r>
    </w:p>
    <w:p>
      <w:pPr>
        <w:pStyle w:val="26"/>
        <w:numPr>
          <w:ilvl w:val="2"/>
          <w:numId w:val="3"/>
        </w:numPr>
        <w:tabs>
          <w:tab w:val="left" w:pos="1670"/>
        </w:tabs>
        <w:autoSpaceDE w:val="0"/>
        <w:autoSpaceDN w:val="0"/>
        <w:spacing w:line="360" w:lineRule="auto"/>
        <w:ind w:right="569" w:firstLine="434" w:firstLineChars="0"/>
        <w:rPr>
          <w:rFonts w:ascii="宋体" w:hAnsi="宋体"/>
          <w:szCs w:val="21"/>
        </w:rPr>
      </w:pPr>
      <w:r>
        <w:rPr>
          <w:rFonts w:ascii="宋体" w:hAnsi="宋体"/>
          <w:szCs w:val="21"/>
        </w:rPr>
        <w:t>在中华人民共和国境内注册，能够独立承担民事责任，有生产或供应能力的本国供应商。</w:t>
      </w:r>
    </w:p>
    <w:p>
      <w:pPr>
        <w:pStyle w:val="26"/>
        <w:numPr>
          <w:ilvl w:val="2"/>
          <w:numId w:val="3"/>
        </w:numPr>
        <w:tabs>
          <w:tab w:val="left" w:pos="1670"/>
        </w:tabs>
        <w:autoSpaceDE w:val="0"/>
        <w:autoSpaceDN w:val="0"/>
        <w:spacing w:before="2" w:line="360" w:lineRule="auto"/>
        <w:ind w:right="569" w:firstLine="434" w:firstLineChars="0"/>
        <w:rPr>
          <w:rFonts w:ascii="宋体" w:hAnsi="宋体"/>
          <w:szCs w:val="21"/>
        </w:rPr>
      </w:pPr>
      <w:r>
        <w:rPr>
          <w:rFonts w:ascii="宋体" w:hAnsi="宋体"/>
          <w:szCs w:val="21"/>
        </w:rPr>
        <w:t>具备《中华人民共和国政府采购法》第二十二条关于供应商条件的规定，遵守本项目采购人本级和上级财政部门政府采购的有关规定。</w:t>
      </w:r>
    </w:p>
    <w:p>
      <w:pPr>
        <w:pStyle w:val="26"/>
        <w:numPr>
          <w:ilvl w:val="2"/>
          <w:numId w:val="3"/>
        </w:numPr>
        <w:tabs>
          <w:tab w:val="left" w:pos="1670"/>
        </w:tabs>
        <w:autoSpaceDE w:val="0"/>
        <w:autoSpaceDN w:val="0"/>
        <w:spacing w:line="360" w:lineRule="auto"/>
        <w:ind w:left="1669" w:hanging="661" w:firstLineChars="0"/>
        <w:rPr>
          <w:rFonts w:ascii="宋体" w:hAnsi="宋体"/>
          <w:szCs w:val="21"/>
        </w:rPr>
      </w:pPr>
      <w:r>
        <w:rPr>
          <w:rFonts w:ascii="宋体" w:hAnsi="宋体"/>
          <w:szCs w:val="21"/>
        </w:rPr>
        <w:t>以采购代理机构认可的方式获得了本项目的磋商文件。</w:t>
      </w:r>
    </w:p>
    <w:p>
      <w:pPr>
        <w:pStyle w:val="11"/>
        <w:spacing w:before="160" w:line="360" w:lineRule="auto"/>
        <w:ind w:left="574" w:right="496" w:firstLine="434"/>
        <w:rPr>
          <w:sz w:val="21"/>
          <w:szCs w:val="21"/>
        </w:rPr>
      </w:pPr>
      <w:r>
        <w:rPr>
          <w:sz w:val="21"/>
          <w:szCs w:val="21"/>
        </w:rPr>
        <w:t>若</w:t>
      </w:r>
      <w:r>
        <w:rPr>
          <w:sz w:val="21"/>
          <w:szCs w:val="21"/>
          <w:u w:val="single"/>
        </w:rPr>
        <w:t>供应商须知前附表</w:t>
      </w:r>
      <w:r>
        <w:rPr>
          <w:sz w:val="21"/>
          <w:szCs w:val="21"/>
        </w:rPr>
        <w:t>中写明允许采购进口产品，供应商应保证所投产品可履行合法报通关手续进入中国关境内。</w:t>
      </w:r>
    </w:p>
    <w:p>
      <w:pPr>
        <w:pStyle w:val="11"/>
        <w:spacing w:before="160" w:line="360" w:lineRule="auto"/>
        <w:ind w:left="574" w:right="496" w:firstLine="434"/>
        <w:rPr>
          <w:sz w:val="21"/>
          <w:szCs w:val="21"/>
        </w:rPr>
      </w:pPr>
      <w:r>
        <w:rPr>
          <w:sz w:val="21"/>
          <w:szCs w:val="21"/>
        </w:rPr>
        <w:t>若</w:t>
      </w:r>
      <w:r>
        <w:rPr>
          <w:sz w:val="21"/>
          <w:szCs w:val="21"/>
          <w:u w:val="single"/>
        </w:rPr>
        <w:t>供应商须知前附表</w:t>
      </w:r>
      <w:r>
        <w:rPr>
          <w:sz w:val="21"/>
          <w:szCs w:val="21"/>
        </w:rPr>
        <w:t>中未写明允许采购进口产品，如供应商所投产品为进口产品，其响应文件将被认定为响应无效。</w:t>
      </w:r>
    </w:p>
    <w:p>
      <w:pPr>
        <w:pStyle w:val="26"/>
        <w:numPr>
          <w:ilvl w:val="2"/>
          <w:numId w:val="3"/>
        </w:numPr>
        <w:tabs>
          <w:tab w:val="left" w:pos="1670"/>
        </w:tabs>
        <w:autoSpaceDE w:val="0"/>
        <w:autoSpaceDN w:val="0"/>
        <w:spacing w:before="5" w:line="360" w:lineRule="auto"/>
        <w:ind w:right="570" w:firstLine="434" w:firstLineChars="0"/>
        <w:rPr>
          <w:rFonts w:ascii="宋体" w:hAnsi="宋体"/>
          <w:szCs w:val="21"/>
        </w:rPr>
      </w:pPr>
      <w:r>
        <w:rPr>
          <w:rFonts w:ascii="宋体" w:hAnsi="宋体"/>
          <w:szCs w:val="21"/>
        </w:rPr>
        <w:t>若</w:t>
      </w:r>
      <w:r>
        <w:rPr>
          <w:rFonts w:ascii="宋体" w:hAnsi="宋体"/>
          <w:szCs w:val="21"/>
          <w:u w:val="single"/>
        </w:rPr>
        <w:t>供应商须知前附表</w:t>
      </w:r>
      <w:r>
        <w:rPr>
          <w:rFonts w:ascii="宋体" w:hAnsi="宋体"/>
          <w:szCs w:val="21"/>
        </w:rPr>
        <w:t>中</w:t>
      </w:r>
      <w:r>
        <w:rPr>
          <w:rFonts w:hint="eastAsia" w:ascii="宋体" w:hAnsi="宋体" w:cs="宋体"/>
          <w:color w:val="000000"/>
          <w:szCs w:val="21"/>
        </w:rPr>
        <w:t>写明专门面向中小企业采购的，如供应商提供大型企业制造货物的，其投标将被认定为</w:t>
      </w:r>
      <w:r>
        <w:rPr>
          <w:rFonts w:ascii="宋体" w:hAnsi="宋体"/>
          <w:szCs w:val="21"/>
        </w:rPr>
        <w:t>响应无效。</w:t>
      </w:r>
    </w:p>
    <w:p>
      <w:pPr>
        <w:pStyle w:val="26"/>
        <w:numPr>
          <w:ilvl w:val="1"/>
          <w:numId w:val="3"/>
        </w:numPr>
        <w:tabs>
          <w:tab w:val="left" w:pos="1430"/>
        </w:tabs>
        <w:autoSpaceDE w:val="0"/>
        <w:autoSpaceDN w:val="0"/>
        <w:spacing w:before="5" w:line="360" w:lineRule="auto"/>
        <w:ind w:left="1429" w:hanging="421" w:firstLineChars="0"/>
        <w:rPr>
          <w:rFonts w:ascii="宋体" w:hAnsi="宋体"/>
          <w:szCs w:val="21"/>
        </w:rPr>
      </w:pPr>
      <w:r>
        <w:rPr>
          <w:rFonts w:ascii="宋体" w:hAnsi="宋体"/>
          <w:szCs w:val="21"/>
        </w:rPr>
        <w:t>若</w:t>
      </w:r>
      <w:r>
        <w:rPr>
          <w:rFonts w:ascii="宋体" w:hAnsi="宋体"/>
          <w:szCs w:val="21"/>
          <w:u w:val="single"/>
        </w:rPr>
        <w:t>供应商须知前附表</w:t>
      </w:r>
      <w:r>
        <w:rPr>
          <w:rFonts w:ascii="宋体" w:hAnsi="宋体"/>
          <w:szCs w:val="21"/>
        </w:rPr>
        <w:t>中允许联合体参加磋商，对联合体规定如下：</w:t>
      </w:r>
    </w:p>
    <w:p>
      <w:pPr>
        <w:pStyle w:val="26"/>
        <w:numPr>
          <w:ilvl w:val="2"/>
          <w:numId w:val="3"/>
        </w:numPr>
        <w:tabs>
          <w:tab w:val="left" w:pos="1653"/>
        </w:tabs>
        <w:autoSpaceDE w:val="0"/>
        <w:autoSpaceDN w:val="0"/>
        <w:spacing w:before="158" w:line="360" w:lineRule="auto"/>
        <w:ind w:left="1652" w:hanging="644" w:firstLineChars="0"/>
        <w:rPr>
          <w:rFonts w:ascii="宋体" w:hAnsi="宋体"/>
          <w:szCs w:val="21"/>
        </w:rPr>
      </w:pPr>
      <w:r>
        <w:rPr>
          <w:rFonts w:ascii="宋体" w:hAnsi="宋体"/>
          <w:szCs w:val="21"/>
        </w:rPr>
        <w:t>两个以上供应商可以组成一个磋商联合体，以一个供应商的身份磋商。</w:t>
      </w:r>
    </w:p>
    <w:p>
      <w:pPr>
        <w:pStyle w:val="26"/>
        <w:numPr>
          <w:ilvl w:val="2"/>
          <w:numId w:val="3"/>
        </w:numPr>
        <w:tabs>
          <w:tab w:val="left" w:pos="1670"/>
        </w:tabs>
        <w:autoSpaceDE w:val="0"/>
        <w:autoSpaceDN w:val="0"/>
        <w:spacing w:before="162" w:line="360" w:lineRule="auto"/>
        <w:ind w:right="569" w:firstLine="434" w:firstLineChars="0"/>
        <w:rPr>
          <w:rFonts w:ascii="宋体" w:hAnsi="宋体"/>
          <w:szCs w:val="21"/>
        </w:rPr>
      </w:pPr>
      <w:r>
        <w:rPr>
          <w:rFonts w:ascii="宋体" w:hAnsi="宋体"/>
          <w:szCs w:val="21"/>
        </w:rPr>
        <w:t>联合体各方均应符合《中华人民共和国政府采购法》第二十二条规定的条件。</w:t>
      </w:r>
    </w:p>
    <w:p>
      <w:pPr>
        <w:pStyle w:val="26"/>
        <w:numPr>
          <w:ilvl w:val="2"/>
          <w:numId w:val="3"/>
        </w:numPr>
        <w:tabs>
          <w:tab w:val="left" w:pos="1670"/>
        </w:tabs>
        <w:autoSpaceDE w:val="0"/>
        <w:autoSpaceDN w:val="0"/>
        <w:spacing w:before="4" w:line="360" w:lineRule="auto"/>
        <w:ind w:right="571" w:firstLine="434" w:firstLineChars="0"/>
        <w:rPr>
          <w:rFonts w:ascii="宋体" w:hAnsi="宋体"/>
          <w:szCs w:val="21"/>
        </w:rPr>
      </w:pPr>
      <w:r>
        <w:rPr>
          <w:rFonts w:ascii="宋体" w:hAnsi="宋体"/>
          <w:szCs w:val="21"/>
        </w:rPr>
        <w:t>采购人根据采购项目对供应商的特殊要求，联合体中至少应当有一方符合相关规定。</w:t>
      </w:r>
    </w:p>
    <w:p>
      <w:pPr>
        <w:pStyle w:val="26"/>
        <w:numPr>
          <w:ilvl w:val="2"/>
          <w:numId w:val="3"/>
        </w:numPr>
        <w:tabs>
          <w:tab w:val="left" w:pos="1670"/>
        </w:tabs>
        <w:autoSpaceDE w:val="0"/>
        <w:autoSpaceDN w:val="0"/>
        <w:spacing w:before="5" w:line="360" w:lineRule="auto"/>
        <w:ind w:right="571" w:firstLine="434" w:firstLineChars="0"/>
        <w:rPr>
          <w:rFonts w:ascii="宋体" w:hAnsi="宋体"/>
          <w:szCs w:val="21"/>
        </w:rPr>
      </w:pPr>
      <w:r>
        <w:rPr>
          <w:rFonts w:ascii="宋体" w:hAnsi="宋体"/>
          <w:szCs w:val="21"/>
        </w:rPr>
        <w:t>联合体各方应签订联合体协议，明确约定联合体各方承担的工作和相应的责任，并将联合体协议作为响应文件的一部分提交。</w:t>
      </w:r>
    </w:p>
    <w:p>
      <w:pPr>
        <w:pStyle w:val="26"/>
        <w:numPr>
          <w:ilvl w:val="2"/>
          <w:numId w:val="3"/>
        </w:numPr>
        <w:tabs>
          <w:tab w:val="left" w:pos="1670"/>
        </w:tabs>
        <w:autoSpaceDE w:val="0"/>
        <w:autoSpaceDN w:val="0"/>
        <w:spacing w:line="360" w:lineRule="auto"/>
        <w:ind w:right="569" w:firstLine="434" w:firstLineChars="0"/>
        <w:rPr>
          <w:rFonts w:ascii="宋体" w:hAnsi="宋体"/>
          <w:szCs w:val="21"/>
        </w:rPr>
      </w:pPr>
      <w:r>
        <w:rPr>
          <w:rFonts w:ascii="宋体" w:hAnsi="宋体"/>
          <w:szCs w:val="21"/>
        </w:rPr>
        <w:t>大中型企业、其他自然人、法人或者非法人组织与小型、微型企业组成联合体共同参加磋商，联合体协议中应写明小型、微型企业的协议合同金额占到联合体协议合同总金额的比例。</w:t>
      </w:r>
    </w:p>
    <w:p>
      <w:pPr>
        <w:pStyle w:val="26"/>
        <w:numPr>
          <w:ilvl w:val="2"/>
          <w:numId w:val="3"/>
        </w:numPr>
        <w:tabs>
          <w:tab w:val="left" w:pos="1670"/>
        </w:tabs>
        <w:autoSpaceDE w:val="0"/>
        <w:autoSpaceDN w:val="0"/>
        <w:spacing w:line="360" w:lineRule="auto"/>
        <w:ind w:right="570" w:firstLine="434" w:firstLineChars="0"/>
        <w:rPr>
          <w:rFonts w:ascii="宋体" w:hAnsi="宋体"/>
          <w:szCs w:val="21"/>
        </w:rPr>
      </w:pPr>
      <w:r>
        <w:rPr>
          <w:rFonts w:ascii="宋体" w:hAnsi="宋体"/>
          <w:szCs w:val="21"/>
        </w:rPr>
        <w:t>联合体中有同类资质的供应商按照联合体分工承担相同工作的，应当按照资质等级较低的供应商确定资质等级。</w:t>
      </w:r>
    </w:p>
    <w:p>
      <w:pPr>
        <w:pStyle w:val="26"/>
        <w:numPr>
          <w:ilvl w:val="2"/>
          <w:numId w:val="3"/>
        </w:numPr>
        <w:tabs>
          <w:tab w:val="left" w:pos="1670"/>
        </w:tabs>
        <w:autoSpaceDE w:val="0"/>
        <w:autoSpaceDN w:val="0"/>
        <w:spacing w:before="4" w:line="360" w:lineRule="auto"/>
        <w:ind w:right="568" w:firstLine="434" w:firstLineChars="0"/>
        <w:rPr>
          <w:rFonts w:ascii="宋体" w:hAnsi="宋体"/>
          <w:szCs w:val="21"/>
        </w:rPr>
      </w:pPr>
      <w:r>
        <w:rPr>
          <w:rFonts w:ascii="宋体" w:hAnsi="宋体"/>
          <w:szCs w:val="21"/>
        </w:rPr>
        <w:t>以联合体形式参加政府采购活动的，联合体各方不得再单独参加或者与其他供应商另外组成联合体参加本项目磋商，否则相关响应文件将被认定为</w:t>
      </w:r>
      <w:r>
        <w:rPr>
          <w:rFonts w:ascii="宋体" w:hAnsi="宋体"/>
          <w:b/>
          <w:szCs w:val="21"/>
        </w:rPr>
        <w:t>响应无效</w:t>
      </w:r>
      <w:r>
        <w:rPr>
          <w:rFonts w:ascii="宋体" w:hAnsi="宋体"/>
          <w:szCs w:val="21"/>
        </w:rPr>
        <w:t>。</w:t>
      </w:r>
    </w:p>
    <w:p>
      <w:pPr>
        <w:pStyle w:val="26"/>
        <w:numPr>
          <w:ilvl w:val="2"/>
          <w:numId w:val="3"/>
        </w:numPr>
        <w:tabs>
          <w:tab w:val="left" w:pos="1670"/>
        </w:tabs>
        <w:autoSpaceDE w:val="0"/>
        <w:autoSpaceDN w:val="0"/>
        <w:spacing w:line="360" w:lineRule="auto"/>
        <w:ind w:left="1669" w:hanging="661" w:firstLineChars="0"/>
        <w:rPr>
          <w:rFonts w:ascii="宋体" w:hAnsi="宋体"/>
          <w:szCs w:val="21"/>
        </w:rPr>
      </w:pPr>
      <w:r>
        <w:rPr>
          <w:rFonts w:ascii="宋体" w:hAnsi="宋体"/>
          <w:szCs w:val="21"/>
        </w:rPr>
        <w:t>对联合体参加磋商的其他资格要求见供应商资格。</w:t>
      </w:r>
    </w:p>
    <w:p>
      <w:pPr>
        <w:pStyle w:val="26"/>
        <w:numPr>
          <w:ilvl w:val="1"/>
          <w:numId w:val="3"/>
        </w:numPr>
        <w:tabs>
          <w:tab w:val="left" w:pos="1430"/>
        </w:tabs>
        <w:autoSpaceDE w:val="0"/>
        <w:autoSpaceDN w:val="0"/>
        <w:spacing w:before="161" w:line="360" w:lineRule="auto"/>
        <w:ind w:right="445" w:firstLine="434" w:firstLineChars="0"/>
        <w:rPr>
          <w:rFonts w:ascii="宋体" w:hAnsi="宋体"/>
          <w:szCs w:val="21"/>
        </w:rPr>
      </w:pPr>
      <w:r>
        <w:rPr>
          <w:rFonts w:ascii="宋体" w:hAnsi="宋体"/>
          <w:szCs w:val="21"/>
        </w:rPr>
        <w:t>单位负责人为同一人或者存在直接控股、管理关系的不同供应商，不得参加同一合同项下的政府采购活动。否则其相关响应文件将被认定为</w:t>
      </w:r>
      <w:r>
        <w:rPr>
          <w:rFonts w:ascii="宋体" w:hAnsi="宋体"/>
          <w:b/>
          <w:szCs w:val="21"/>
        </w:rPr>
        <w:t>响应无效</w:t>
      </w:r>
      <w:r>
        <w:rPr>
          <w:rFonts w:ascii="宋体" w:hAnsi="宋体"/>
          <w:szCs w:val="21"/>
        </w:rPr>
        <w:t>。</w:t>
      </w:r>
    </w:p>
    <w:p>
      <w:pPr>
        <w:pStyle w:val="26"/>
        <w:numPr>
          <w:ilvl w:val="1"/>
          <w:numId w:val="3"/>
        </w:numPr>
        <w:tabs>
          <w:tab w:val="left" w:pos="1430"/>
        </w:tabs>
        <w:autoSpaceDE w:val="0"/>
        <w:autoSpaceDN w:val="0"/>
        <w:spacing w:before="4" w:line="360" w:lineRule="auto"/>
        <w:ind w:right="560" w:firstLine="434" w:firstLineChars="0"/>
        <w:rPr>
          <w:rFonts w:ascii="宋体" w:hAnsi="宋体"/>
          <w:szCs w:val="21"/>
        </w:rPr>
      </w:pPr>
      <w:r>
        <w:rPr>
          <w:rFonts w:ascii="宋体" w:hAnsi="宋体"/>
          <w:szCs w:val="21"/>
        </w:rPr>
        <w:t>为本项目提供过整体设计、规范编制或者项目管理、监理、检测等服务的供应商，不得再参加本项目上述服务以外的其他采购活动。否则其响应文件将被认定为</w:t>
      </w:r>
      <w:r>
        <w:rPr>
          <w:rFonts w:ascii="宋体" w:hAnsi="宋体"/>
          <w:b/>
          <w:szCs w:val="21"/>
        </w:rPr>
        <w:t>响应无效</w:t>
      </w:r>
      <w:r>
        <w:rPr>
          <w:rFonts w:ascii="宋体" w:hAnsi="宋体"/>
          <w:szCs w:val="21"/>
        </w:rPr>
        <w:t>。</w:t>
      </w:r>
    </w:p>
    <w:p>
      <w:pPr>
        <w:pStyle w:val="9"/>
        <w:keepNext w:val="0"/>
        <w:keepLines w:val="0"/>
        <w:numPr>
          <w:ilvl w:val="0"/>
          <w:numId w:val="3"/>
        </w:numPr>
        <w:tabs>
          <w:tab w:val="left" w:pos="1255"/>
        </w:tabs>
        <w:autoSpaceDE w:val="0"/>
        <w:autoSpaceDN w:val="0"/>
        <w:spacing w:before="0" w:after="0" w:line="360" w:lineRule="auto"/>
        <w:rPr>
          <w:rFonts w:ascii="宋体" w:hAnsi="宋体"/>
          <w:sz w:val="21"/>
          <w:szCs w:val="21"/>
        </w:rPr>
      </w:pPr>
      <w:r>
        <w:rPr>
          <w:rFonts w:ascii="宋体" w:hAnsi="宋体"/>
          <w:sz w:val="21"/>
          <w:szCs w:val="21"/>
        </w:rPr>
        <w:t>资金来源</w:t>
      </w:r>
    </w:p>
    <w:p>
      <w:pPr>
        <w:pStyle w:val="26"/>
        <w:numPr>
          <w:ilvl w:val="1"/>
          <w:numId w:val="3"/>
        </w:numPr>
        <w:tabs>
          <w:tab w:val="left" w:pos="1437"/>
        </w:tabs>
        <w:autoSpaceDE w:val="0"/>
        <w:autoSpaceDN w:val="0"/>
        <w:spacing w:before="159" w:line="360" w:lineRule="auto"/>
        <w:ind w:left="1436" w:hanging="428" w:firstLineChars="0"/>
        <w:rPr>
          <w:rFonts w:ascii="宋体" w:hAnsi="宋体"/>
          <w:szCs w:val="21"/>
        </w:rPr>
      </w:pPr>
      <w:r>
        <w:rPr>
          <w:rFonts w:ascii="宋体" w:hAnsi="宋体"/>
          <w:szCs w:val="21"/>
        </w:rPr>
        <w:t>本项目的采购人已获得足以支付本次磋商后所签订的合同项下的资金。</w:t>
      </w:r>
    </w:p>
    <w:p>
      <w:pPr>
        <w:pStyle w:val="26"/>
        <w:numPr>
          <w:ilvl w:val="1"/>
          <w:numId w:val="3"/>
        </w:numPr>
        <w:tabs>
          <w:tab w:val="left" w:pos="1430"/>
        </w:tabs>
        <w:autoSpaceDE w:val="0"/>
        <w:autoSpaceDN w:val="0"/>
        <w:spacing w:before="160" w:line="360" w:lineRule="auto"/>
        <w:ind w:left="1429" w:hanging="421" w:firstLineChars="0"/>
        <w:rPr>
          <w:rFonts w:ascii="宋体" w:hAnsi="宋体"/>
          <w:szCs w:val="21"/>
        </w:rPr>
      </w:pPr>
      <w:r>
        <w:rPr>
          <w:rFonts w:ascii="宋体" w:hAnsi="宋体"/>
          <w:szCs w:val="21"/>
        </w:rPr>
        <w:t>项目预算金额或分项（或分包）预算金额见磋商公告</w:t>
      </w:r>
      <w:r>
        <w:rPr>
          <w:rFonts w:hint="eastAsia" w:ascii="宋体" w:hAnsi="宋体"/>
          <w:szCs w:val="21"/>
        </w:rPr>
        <w:t>。</w:t>
      </w:r>
    </w:p>
    <w:p>
      <w:pPr>
        <w:pStyle w:val="9"/>
        <w:keepNext w:val="0"/>
        <w:keepLines w:val="0"/>
        <w:numPr>
          <w:ilvl w:val="0"/>
          <w:numId w:val="3"/>
        </w:numPr>
        <w:tabs>
          <w:tab w:val="left" w:pos="1255"/>
        </w:tabs>
        <w:autoSpaceDE w:val="0"/>
        <w:autoSpaceDN w:val="0"/>
        <w:spacing w:before="56" w:after="0" w:line="360" w:lineRule="auto"/>
        <w:rPr>
          <w:rFonts w:ascii="宋体" w:hAnsi="宋体"/>
          <w:sz w:val="21"/>
          <w:szCs w:val="21"/>
        </w:rPr>
      </w:pPr>
      <w:r>
        <w:rPr>
          <w:rFonts w:ascii="宋体" w:hAnsi="宋体"/>
          <w:sz w:val="21"/>
          <w:szCs w:val="21"/>
        </w:rPr>
        <w:t>磋商费用</w:t>
      </w:r>
    </w:p>
    <w:p>
      <w:pPr>
        <w:pStyle w:val="11"/>
        <w:spacing w:before="160" w:line="360" w:lineRule="auto"/>
        <w:ind w:left="1011" w:right="456" w:hanging="3"/>
        <w:rPr>
          <w:b/>
          <w:sz w:val="21"/>
          <w:szCs w:val="21"/>
        </w:rPr>
      </w:pPr>
      <w:r>
        <w:rPr>
          <w:sz w:val="21"/>
          <w:szCs w:val="21"/>
        </w:rPr>
        <w:t>不论磋商的结果如何，供应商应承担其所有与准备和参加磋商有关的费用。</w:t>
      </w:r>
      <w:r>
        <w:rPr>
          <w:b/>
          <w:sz w:val="21"/>
          <w:szCs w:val="21"/>
        </w:rPr>
        <w:t>6.适用法律</w:t>
      </w:r>
    </w:p>
    <w:p>
      <w:pPr>
        <w:pStyle w:val="11"/>
        <w:spacing w:before="5" w:line="360" w:lineRule="auto"/>
        <w:ind w:left="574" w:right="573" w:firstLine="434"/>
        <w:jc w:val="both"/>
        <w:rPr>
          <w:sz w:val="21"/>
          <w:szCs w:val="21"/>
        </w:rPr>
      </w:pPr>
      <w:r>
        <w:rPr>
          <w:sz w:val="21"/>
          <w:szCs w:val="21"/>
        </w:rPr>
        <w:t>本项目采购人、采购代理机构、供应商、磋商小组的相关行为均受《中华人民共和国政府采购法》、《中华人民共和国政府采购法实施条例》</w:t>
      </w:r>
      <w:r>
        <w:rPr>
          <w:rFonts w:hint="eastAsia"/>
          <w:sz w:val="21"/>
          <w:szCs w:val="21"/>
        </w:rPr>
        <w:t>、</w:t>
      </w:r>
      <w:r>
        <w:rPr>
          <w:sz w:val="21"/>
          <w:szCs w:val="21"/>
        </w:rPr>
        <w:t>及本项目本级和上级财政部门、政府采购监督管理部门的政府采购有关规定的约束，其权利受到上述法律法规的保护。</w:t>
      </w:r>
    </w:p>
    <w:p>
      <w:pPr>
        <w:pStyle w:val="9"/>
        <w:keepNext w:val="0"/>
        <w:keepLines w:val="0"/>
        <w:numPr>
          <w:ilvl w:val="0"/>
          <w:numId w:val="4"/>
        </w:numPr>
        <w:tabs>
          <w:tab w:val="left" w:pos="1255"/>
        </w:tabs>
        <w:autoSpaceDE w:val="0"/>
        <w:autoSpaceDN w:val="0"/>
        <w:spacing w:before="0" w:after="0" w:line="360" w:lineRule="auto"/>
        <w:rPr>
          <w:rFonts w:ascii="宋体" w:hAnsi="宋体"/>
          <w:sz w:val="21"/>
          <w:szCs w:val="21"/>
        </w:rPr>
      </w:pPr>
      <w:r>
        <w:rPr>
          <w:rFonts w:ascii="宋体" w:hAnsi="宋体"/>
          <w:sz w:val="21"/>
          <w:szCs w:val="21"/>
        </w:rPr>
        <w:t>磋商文件构成</w:t>
      </w:r>
    </w:p>
    <w:p>
      <w:pPr>
        <w:pStyle w:val="26"/>
        <w:numPr>
          <w:ilvl w:val="1"/>
          <w:numId w:val="4"/>
        </w:numPr>
        <w:tabs>
          <w:tab w:val="left" w:pos="1430"/>
        </w:tabs>
        <w:autoSpaceDE w:val="0"/>
        <w:autoSpaceDN w:val="0"/>
        <w:spacing w:before="158" w:after="120" w:afterLines="50" w:line="360" w:lineRule="auto"/>
        <w:ind w:firstLineChars="0"/>
        <w:rPr>
          <w:rFonts w:ascii="宋体" w:hAnsi="宋体"/>
          <w:szCs w:val="21"/>
        </w:rPr>
      </w:pPr>
      <w:r>
        <w:rPr>
          <w:rFonts w:ascii="宋体" w:hAnsi="宋体"/>
          <w:szCs w:val="21"/>
        </w:rPr>
        <w:t>磋商文件包括下列内容：</w:t>
      </w:r>
    </w:p>
    <w:p>
      <w:pPr>
        <w:pStyle w:val="11"/>
        <w:tabs>
          <w:tab w:val="left" w:pos="2374"/>
        </w:tabs>
        <w:spacing w:line="360" w:lineRule="auto"/>
        <w:ind w:left="1412" w:right="4649"/>
        <w:rPr>
          <w:sz w:val="21"/>
          <w:szCs w:val="21"/>
        </w:rPr>
      </w:pPr>
      <w:r>
        <w:rPr>
          <w:sz w:val="21"/>
          <w:szCs w:val="21"/>
        </w:rPr>
        <w:t>第一章</w:t>
      </w:r>
      <w:r>
        <w:rPr>
          <w:sz w:val="21"/>
          <w:szCs w:val="21"/>
        </w:rPr>
        <w:tab/>
      </w:r>
      <w:r>
        <w:rPr>
          <w:sz w:val="21"/>
          <w:szCs w:val="21"/>
        </w:rPr>
        <w:t>竞争性磋商公告</w:t>
      </w:r>
    </w:p>
    <w:p>
      <w:pPr>
        <w:pStyle w:val="11"/>
        <w:tabs>
          <w:tab w:val="left" w:pos="2374"/>
        </w:tabs>
        <w:spacing w:line="360" w:lineRule="auto"/>
        <w:ind w:left="1412" w:right="4649"/>
        <w:rPr>
          <w:sz w:val="21"/>
          <w:szCs w:val="21"/>
        </w:rPr>
      </w:pPr>
      <w:r>
        <w:rPr>
          <w:sz w:val="21"/>
          <w:szCs w:val="21"/>
        </w:rPr>
        <w:t>第二章</w:t>
      </w:r>
      <w:r>
        <w:rPr>
          <w:sz w:val="21"/>
          <w:szCs w:val="21"/>
        </w:rPr>
        <w:tab/>
      </w:r>
      <w:r>
        <w:rPr>
          <w:sz w:val="21"/>
          <w:szCs w:val="21"/>
        </w:rPr>
        <w:t>供应商须知</w:t>
      </w:r>
    </w:p>
    <w:p>
      <w:pPr>
        <w:pStyle w:val="11"/>
        <w:tabs>
          <w:tab w:val="left" w:pos="2374"/>
        </w:tabs>
        <w:spacing w:before="5" w:line="360" w:lineRule="auto"/>
        <w:ind w:left="1414"/>
        <w:rPr>
          <w:sz w:val="21"/>
          <w:szCs w:val="21"/>
        </w:rPr>
      </w:pPr>
      <w:r>
        <w:rPr>
          <w:sz w:val="21"/>
          <w:szCs w:val="21"/>
        </w:rPr>
        <w:t>第三章</w:t>
      </w:r>
      <w:r>
        <w:rPr>
          <w:sz w:val="21"/>
          <w:szCs w:val="21"/>
        </w:rPr>
        <w:tab/>
      </w:r>
      <w:r>
        <w:rPr>
          <w:sz w:val="21"/>
          <w:szCs w:val="21"/>
        </w:rPr>
        <w:t>采购需求</w:t>
      </w:r>
    </w:p>
    <w:p>
      <w:pPr>
        <w:pStyle w:val="11"/>
        <w:tabs>
          <w:tab w:val="left" w:pos="2374"/>
        </w:tabs>
        <w:spacing w:before="160" w:line="360" w:lineRule="auto"/>
        <w:ind w:left="1414" w:right="5369"/>
        <w:rPr>
          <w:sz w:val="21"/>
          <w:szCs w:val="21"/>
        </w:rPr>
      </w:pPr>
      <w:r>
        <w:rPr>
          <w:sz w:val="21"/>
          <w:szCs w:val="21"/>
        </w:rPr>
        <w:t>第四章</w:t>
      </w:r>
      <w:r>
        <w:rPr>
          <w:sz w:val="21"/>
          <w:szCs w:val="21"/>
        </w:rPr>
        <w:tab/>
      </w:r>
      <w:r>
        <w:rPr>
          <w:sz w:val="21"/>
          <w:szCs w:val="21"/>
        </w:rPr>
        <w:t>评审方法和标准</w:t>
      </w:r>
    </w:p>
    <w:p>
      <w:pPr>
        <w:pStyle w:val="11"/>
        <w:tabs>
          <w:tab w:val="left" w:pos="2374"/>
        </w:tabs>
        <w:spacing w:before="160" w:line="360" w:lineRule="auto"/>
        <w:ind w:left="1414" w:right="5369"/>
        <w:rPr>
          <w:sz w:val="21"/>
          <w:szCs w:val="21"/>
        </w:rPr>
      </w:pPr>
      <w:r>
        <w:rPr>
          <w:sz w:val="21"/>
          <w:szCs w:val="21"/>
        </w:rPr>
        <w:t>第五章</w:t>
      </w:r>
      <w:r>
        <w:rPr>
          <w:sz w:val="21"/>
          <w:szCs w:val="21"/>
        </w:rPr>
        <w:tab/>
      </w:r>
      <w:r>
        <w:rPr>
          <w:sz w:val="21"/>
          <w:szCs w:val="21"/>
        </w:rPr>
        <w:t xml:space="preserve">政府采购合同 </w:t>
      </w:r>
    </w:p>
    <w:p>
      <w:pPr>
        <w:pStyle w:val="11"/>
        <w:tabs>
          <w:tab w:val="left" w:pos="2374"/>
        </w:tabs>
        <w:spacing w:before="160" w:line="360" w:lineRule="auto"/>
        <w:ind w:left="1414" w:right="5369"/>
        <w:rPr>
          <w:sz w:val="21"/>
          <w:szCs w:val="21"/>
        </w:rPr>
      </w:pPr>
      <w:r>
        <w:rPr>
          <w:sz w:val="21"/>
          <w:szCs w:val="21"/>
        </w:rPr>
        <w:t>第六章</w:t>
      </w:r>
      <w:r>
        <w:rPr>
          <w:sz w:val="21"/>
          <w:szCs w:val="21"/>
        </w:rPr>
        <w:tab/>
      </w:r>
      <w:r>
        <w:rPr>
          <w:sz w:val="21"/>
          <w:szCs w:val="21"/>
        </w:rPr>
        <w:t>响应文件格式</w:t>
      </w:r>
    </w:p>
    <w:p>
      <w:pPr>
        <w:pStyle w:val="26"/>
        <w:numPr>
          <w:ilvl w:val="1"/>
          <w:numId w:val="4"/>
        </w:numPr>
        <w:tabs>
          <w:tab w:val="left" w:pos="1430"/>
        </w:tabs>
        <w:autoSpaceDE w:val="0"/>
        <w:autoSpaceDN w:val="0"/>
        <w:spacing w:line="360" w:lineRule="auto"/>
        <w:ind w:hanging="421" w:firstLineChars="0"/>
        <w:rPr>
          <w:rFonts w:ascii="宋体" w:hAnsi="宋体"/>
          <w:szCs w:val="21"/>
        </w:rPr>
      </w:pPr>
      <w:r>
        <w:rPr>
          <w:rFonts w:ascii="宋体" w:hAnsi="宋体"/>
          <w:szCs w:val="21"/>
        </w:rPr>
        <w:t>磋商文件中有不一致的，有澄清的部分以最终的澄清更正内容为准。</w:t>
      </w:r>
    </w:p>
    <w:p>
      <w:pPr>
        <w:pStyle w:val="26"/>
        <w:numPr>
          <w:ilvl w:val="1"/>
          <w:numId w:val="4"/>
        </w:numPr>
        <w:tabs>
          <w:tab w:val="left" w:pos="1430"/>
        </w:tabs>
        <w:autoSpaceDE w:val="0"/>
        <w:autoSpaceDN w:val="0"/>
        <w:spacing w:before="158" w:line="360" w:lineRule="auto"/>
        <w:ind w:hanging="421" w:firstLineChars="0"/>
        <w:rPr>
          <w:rFonts w:ascii="宋体" w:hAnsi="宋体"/>
          <w:szCs w:val="21"/>
        </w:rPr>
      </w:pPr>
      <w:r>
        <w:rPr>
          <w:rFonts w:ascii="宋体" w:hAnsi="宋体"/>
          <w:szCs w:val="21"/>
        </w:rPr>
        <mc:AlternateContent>
          <mc:Choice Requires="wps">
            <w:drawing>
              <wp:anchor distT="0" distB="0" distL="114300" distR="114300" simplePos="0" relativeHeight="251660288" behindDoc="0" locked="0" layoutInCell="1" allowOverlap="1">
                <wp:simplePos x="0" y="0"/>
                <wp:positionH relativeFrom="page">
                  <wp:posOffset>3219450</wp:posOffset>
                </wp:positionH>
                <wp:positionV relativeFrom="paragraph">
                  <wp:posOffset>278130</wp:posOffset>
                </wp:positionV>
                <wp:extent cx="1219200" cy="0"/>
                <wp:effectExtent l="0" t="0" r="0" b="0"/>
                <wp:wrapNone/>
                <wp:docPr id="20" name="直接连接符 20"/>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line">
                          <a:avLst/>
                        </a:prstGeom>
                        <a:noFill/>
                        <a:ln w="7620">
                          <a:solidFill>
                            <a:srgbClr val="000000"/>
                          </a:solidFill>
                          <a:prstDash val="solid"/>
                          <a:round/>
                        </a:ln>
                        <a:effectLst/>
                      </wps:spPr>
                      <wps:bodyPr/>
                    </wps:wsp>
                  </a:graphicData>
                </a:graphic>
              </wp:anchor>
            </w:drawing>
          </mc:Choice>
          <mc:Fallback>
            <w:pict>
              <v:line id="_x0000_s1026" o:spid="_x0000_s1026" o:spt="20" style="position:absolute;left:0pt;margin-left:253.5pt;margin-top:21.9pt;height:0pt;width:96pt;mso-position-horizontal-relative:page;z-index:251660288;mso-width-relative:page;mso-height-relative:page;" filled="f" stroked="t" coordsize="21600,21600" o:gfxdata="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DnEjh3WAAAACQEAAA8AAAAAAAAAAQAgAAAAIgAAAGRycy9kb3ducmV2LnhtbFBLAQIUABQAAAAI&#10;AIdO4kCerPak7wEAANMDAAAOAAAAAAAAAAEAIAAAACUBAABkcnMvZTJvRG9jLnhtbFBLBQYAAAAA&#10;BgAGAFkBAACGBQAAAAA=&#10;">
                <v:fill on="f" focussize="0,0"/>
                <v:stroke weight="0.6pt" color="#000000" joinstyle="round"/>
                <v:imagedata o:title=""/>
                <o:lock v:ext="edit" aspectratio="f"/>
              </v:line>
            </w:pict>
          </mc:Fallback>
        </mc:AlternateContent>
      </w:r>
      <w:r>
        <w:rPr>
          <w:rFonts w:ascii="宋体" w:hAnsi="宋体"/>
          <w:szCs w:val="21"/>
        </w:rPr>
        <w:t>现场考察及相关事项见供应商须知前附表。</w:t>
      </w:r>
    </w:p>
    <w:p>
      <w:pPr>
        <w:pStyle w:val="26"/>
        <w:numPr>
          <w:ilvl w:val="1"/>
          <w:numId w:val="4"/>
        </w:numPr>
        <w:tabs>
          <w:tab w:val="left" w:pos="1430"/>
        </w:tabs>
        <w:autoSpaceDE w:val="0"/>
        <w:autoSpaceDN w:val="0"/>
        <w:spacing w:line="360" w:lineRule="auto"/>
        <w:ind w:left="1011" w:right="794" w:hanging="3" w:firstLineChars="0"/>
        <w:jc w:val="left"/>
        <w:rPr>
          <w:rFonts w:ascii="宋体" w:hAnsi="宋体" w:eastAsia="宋体" w:cs="宋体"/>
          <w:kern w:val="0"/>
          <w:sz w:val="21"/>
          <w:szCs w:val="21"/>
          <w:lang w:val="zh-CN" w:eastAsia="zh-CN" w:bidi="zh-CN"/>
        </w:rPr>
      </w:pPr>
      <w:r>
        <w:rPr>
          <w:rFonts w:hint="eastAsia" w:ascii="宋体" w:hAnsi="宋体" w:eastAsia="宋体" w:cs="宋体"/>
          <w:kern w:val="0"/>
          <w:sz w:val="21"/>
          <w:szCs w:val="21"/>
          <w:lang w:val="zh-CN" w:eastAsia="zh-CN" w:bidi="zh-CN"/>
        </w:rPr>
        <w:t>原则上采购人、采购代理机构不要求供应商提供样品。除仅凭书面方式不能准确描述采购需求，或者需要对样品进行主观判断以确认是否满足采购需求等特殊情况除外。</w:t>
      </w:r>
    </w:p>
    <w:p>
      <w:pPr>
        <w:pStyle w:val="26"/>
        <w:tabs>
          <w:tab w:val="left" w:pos="1430"/>
        </w:tabs>
        <w:autoSpaceDE w:val="0"/>
        <w:autoSpaceDN w:val="0"/>
        <w:spacing w:line="360" w:lineRule="auto"/>
        <w:ind w:left="1011" w:right="794" w:firstLine="0" w:firstLineChars="0"/>
        <w:jc w:val="left"/>
        <w:rPr>
          <w:rFonts w:ascii="宋体" w:hAnsi="宋体"/>
          <w:szCs w:val="21"/>
        </w:rPr>
      </w:pPr>
      <w:r>
        <w:rPr>
          <w:rFonts w:hint="eastAsia" w:ascii="宋体" w:hAnsi="宋体"/>
          <w:szCs w:val="21"/>
        </w:rPr>
        <w:t>7.5</w:t>
      </w:r>
      <w:r>
        <w:rPr>
          <w:rFonts w:ascii="宋体" w:hAnsi="宋体"/>
          <w:szCs w:val="21"/>
        </w:rPr>
        <w:t>供应商应认真阅读磋商文件所有的事项、格式、条款和技术规范等。</w:t>
      </w:r>
    </w:p>
    <w:p>
      <w:pPr>
        <w:pStyle w:val="26"/>
        <w:tabs>
          <w:tab w:val="left" w:pos="1430"/>
        </w:tabs>
        <w:autoSpaceDE w:val="0"/>
        <w:autoSpaceDN w:val="0"/>
        <w:spacing w:line="360" w:lineRule="auto"/>
        <w:ind w:left="1011" w:right="794" w:firstLine="0" w:firstLineChars="0"/>
        <w:jc w:val="left"/>
        <w:rPr>
          <w:rFonts w:ascii="宋体" w:hAnsi="宋体"/>
          <w:b/>
          <w:szCs w:val="21"/>
        </w:rPr>
      </w:pPr>
      <w:r>
        <w:rPr>
          <w:rFonts w:ascii="宋体" w:hAnsi="宋体"/>
          <w:b/>
          <w:szCs w:val="21"/>
        </w:rPr>
        <w:t>8.磋商文件的澄清与修改</w:t>
      </w:r>
    </w:p>
    <w:p>
      <w:pPr>
        <w:pStyle w:val="26"/>
        <w:tabs>
          <w:tab w:val="left" w:pos="1430"/>
        </w:tabs>
        <w:autoSpaceDE w:val="0"/>
        <w:autoSpaceDN w:val="0"/>
        <w:spacing w:line="360" w:lineRule="auto"/>
        <w:ind w:left="1011" w:right="794" w:firstLine="0" w:firstLineChars="0"/>
        <w:jc w:val="left"/>
        <w:rPr>
          <w:rFonts w:ascii="宋体" w:hAnsi="宋体"/>
          <w:szCs w:val="21"/>
        </w:rPr>
      </w:pPr>
      <w:r>
        <w:rPr>
          <w:rFonts w:hint="eastAsia" w:ascii="宋体" w:hAnsi="宋体"/>
          <w:szCs w:val="21"/>
        </w:rPr>
        <w:t>8.1供应商质疑截止时间：见供应商须知前附表。</w:t>
      </w:r>
    </w:p>
    <w:p>
      <w:pPr>
        <w:pStyle w:val="9"/>
        <w:keepNext w:val="0"/>
        <w:keepLines w:val="0"/>
        <w:numPr>
          <w:ilvl w:val="0"/>
          <w:numId w:val="5"/>
        </w:numPr>
        <w:tabs>
          <w:tab w:val="left" w:pos="1255"/>
        </w:tabs>
        <w:autoSpaceDE w:val="0"/>
        <w:autoSpaceDN w:val="0"/>
        <w:spacing w:before="4" w:after="0" w:line="360" w:lineRule="auto"/>
        <w:rPr>
          <w:rFonts w:ascii="宋体" w:hAnsi="宋体"/>
          <w:sz w:val="21"/>
          <w:szCs w:val="21"/>
        </w:rPr>
      </w:pPr>
      <w:r>
        <w:rPr>
          <w:rFonts w:ascii="宋体" w:hAnsi="宋体"/>
          <w:sz w:val="21"/>
          <w:szCs w:val="21"/>
        </w:rPr>
        <w:t>磋商范围及响应文件中标准和计量单位的使用</w:t>
      </w:r>
    </w:p>
    <w:p>
      <w:pPr>
        <w:pStyle w:val="26"/>
        <w:numPr>
          <w:ilvl w:val="1"/>
          <w:numId w:val="5"/>
        </w:numPr>
        <w:tabs>
          <w:tab w:val="left" w:pos="1430"/>
        </w:tabs>
        <w:autoSpaceDE w:val="0"/>
        <w:autoSpaceDN w:val="0"/>
        <w:spacing w:before="158" w:line="360" w:lineRule="auto"/>
        <w:ind w:right="568" w:firstLine="434" w:firstLineChars="0"/>
        <w:rPr>
          <w:rFonts w:ascii="宋体" w:hAnsi="宋体"/>
          <w:szCs w:val="21"/>
        </w:rPr>
      </w:pPr>
      <w:r>
        <w:rPr>
          <w:rFonts w:ascii="宋体" w:hAnsi="宋体"/>
          <w:szCs w:val="21"/>
        </w:rPr>
        <w:t>项目有分包的，供应商可参与其中某一个或多个分包的磋商，成交包数详见</w:t>
      </w:r>
      <w:r>
        <w:rPr>
          <w:rFonts w:ascii="宋体" w:hAnsi="宋体"/>
          <w:szCs w:val="21"/>
          <w:u w:val="single"/>
        </w:rPr>
        <w:t>供应商须知前附表</w:t>
      </w:r>
      <w:r>
        <w:rPr>
          <w:rFonts w:ascii="宋体" w:hAnsi="宋体"/>
          <w:szCs w:val="21"/>
        </w:rPr>
        <w:t>中规定。</w:t>
      </w:r>
    </w:p>
    <w:p>
      <w:pPr>
        <w:pStyle w:val="26"/>
        <w:numPr>
          <w:ilvl w:val="1"/>
          <w:numId w:val="5"/>
        </w:numPr>
        <w:tabs>
          <w:tab w:val="left" w:pos="1430"/>
        </w:tabs>
        <w:autoSpaceDE w:val="0"/>
        <w:autoSpaceDN w:val="0"/>
        <w:spacing w:line="360" w:lineRule="auto"/>
        <w:ind w:right="573" w:firstLine="434" w:firstLineChars="0"/>
        <w:rPr>
          <w:rFonts w:ascii="宋体" w:hAnsi="宋体"/>
          <w:szCs w:val="21"/>
        </w:rPr>
      </w:pPr>
      <w:r>
        <w:rPr>
          <w:rFonts w:ascii="宋体" w:hAnsi="宋体"/>
          <w:szCs w:val="21"/>
        </w:rPr>
        <w:t>无论磋商文件中是否要求，供应商所投货物及伴随的服务和工程均应符合国家强制性标准。</w:t>
      </w:r>
    </w:p>
    <w:p>
      <w:pPr>
        <w:pStyle w:val="26"/>
        <w:numPr>
          <w:ilvl w:val="1"/>
          <w:numId w:val="5"/>
        </w:numPr>
        <w:tabs>
          <w:tab w:val="left" w:pos="1430"/>
        </w:tabs>
        <w:autoSpaceDE w:val="0"/>
        <w:autoSpaceDN w:val="0"/>
        <w:spacing w:line="360" w:lineRule="auto"/>
        <w:ind w:right="569" w:firstLine="434" w:firstLineChars="0"/>
        <w:rPr>
          <w:rFonts w:ascii="宋体" w:hAnsi="宋体"/>
          <w:szCs w:val="21"/>
        </w:rPr>
      </w:pPr>
      <w:r>
        <w:rPr>
          <w:rFonts w:ascii="宋体" w:hAnsi="宋体"/>
          <w:szCs w:val="21"/>
        </w:rPr>
        <w:t>供应商与采购代理机构之间与磋商有关的所有往来通知、函件和响应文件均用中文表述。供应商随响应文件提供的证明文件和资料可以为其它语言， 但必须附中文译文。翻译的中文资料与外文资料如果出现差异时，以中文为准。</w:t>
      </w:r>
    </w:p>
    <w:p>
      <w:pPr>
        <w:pStyle w:val="26"/>
        <w:numPr>
          <w:ilvl w:val="1"/>
          <w:numId w:val="5"/>
        </w:numPr>
        <w:tabs>
          <w:tab w:val="left" w:pos="1430"/>
        </w:tabs>
        <w:autoSpaceDE w:val="0"/>
        <w:autoSpaceDN w:val="0"/>
        <w:spacing w:line="360" w:lineRule="auto"/>
        <w:ind w:right="569" w:firstLine="434" w:firstLineChars="0"/>
        <w:rPr>
          <w:rFonts w:ascii="宋体" w:hAnsi="宋体"/>
          <w:szCs w:val="21"/>
        </w:rPr>
      </w:pPr>
      <w:r>
        <w:rPr>
          <w:rFonts w:ascii="宋体" w:hAnsi="宋体"/>
          <w:szCs w:val="21"/>
        </w:rPr>
        <w:t>除磋商文件中有特殊要求外，响应文件中所使用的计量单位，应采用中华人民共和国法定计量单位。</w:t>
      </w:r>
    </w:p>
    <w:p>
      <w:pPr>
        <w:pStyle w:val="9"/>
        <w:keepNext w:val="0"/>
        <w:keepLines w:val="0"/>
        <w:numPr>
          <w:ilvl w:val="0"/>
          <w:numId w:val="5"/>
        </w:numPr>
        <w:tabs>
          <w:tab w:val="left" w:pos="1377"/>
        </w:tabs>
        <w:autoSpaceDE w:val="0"/>
        <w:autoSpaceDN w:val="0"/>
        <w:spacing w:before="0" w:after="0" w:line="360" w:lineRule="auto"/>
        <w:ind w:left="1376" w:hanging="366"/>
        <w:rPr>
          <w:rFonts w:ascii="宋体" w:hAnsi="宋体"/>
          <w:sz w:val="21"/>
          <w:szCs w:val="21"/>
        </w:rPr>
      </w:pPr>
      <w:r>
        <w:rPr>
          <w:rFonts w:ascii="宋体" w:hAnsi="宋体"/>
          <w:sz w:val="21"/>
          <w:szCs w:val="21"/>
        </w:rPr>
        <w:t>响应文件构成</w:t>
      </w:r>
    </w:p>
    <w:p>
      <w:pPr>
        <w:pStyle w:val="26"/>
        <w:numPr>
          <w:ilvl w:val="1"/>
          <w:numId w:val="5"/>
        </w:numPr>
        <w:tabs>
          <w:tab w:val="left" w:pos="1535"/>
        </w:tabs>
        <w:autoSpaceDE w:val="0"/>
        <w:autoSpaceDN w:val="0"/>
        <w:spacing w:before="158" w:line="360" w:lineRule="auto"/>
        <w:ind w:right="449" w:firstLine="436" w:firstLineChars="0"/>
        <w:rPr>
          <w:rFonts w:ascii="宋体" w:hAnsi="宋体"/>
          <w:szCs w:val="21"/>
        </w:rPr>
      </w:pPr>
      <w:r>
        <w:rPr>
          <w:rFonts w:ascii="宋体" w:hAnsi="宋体"/>
          <w:szCs w:val="21"/>
        </w:rPr>
        <w:t>供应商应完整地按磋商文件提供的响应文件格式及要求编写响应文件， 具体内容详见第六章响应文件格式的相关内容。</w:t>
      </w:r>
    </w:p>
    <w:p>
      <w:pPr>
        <w:pStyle w:val="26"/>
        <w:numPr>
          <w:ilvl w:val="1"/>
          <w:numId w:val="5"/>
        </w:numPr>
        <w:tabs>
          <w:tab w:val="left" w:pos="1535"/>
        </w:tabs>
        <w:autoSpaceDE w:val="0"/>
        <w:autoSpaceDN w:val="0"/>
        <w:spacing w:before="158" w:line="360" w:lineRule="auto"/>
        <w:ind w:right="449" w:firstLine="436" w:firstLineChars="0"/>
        <w:rPr>
          <w:rFonts w:ascii="宋体" w:hAnsi="宋体" w:eastAsia="宋体" w:cs="Times New Roman"/>
          <w:szCs w:val="21"/>
        </w:rPr>
      </w:pPr>
      <w:r>
        <w:rPr>
          <w:rFonts w:ascii="宋体" w:hAnsi="宋体" w:eastAsia="宋体" w:cs="Times New Roman"/>
          <w:szCs w:val="21"/>
        </w:rPr>
        <w:t>上述文件应按照磋商文件规定的格式填写、签署和盖章。</w:t>
      </w:r>
    </w:p>
    <w:p>
      <w:pPr>
        <w:pStyle w:val="26"/>
        <w:tabs>
          <w:tab w:val="left" w:pos="1552"/>
        </w:tabs>
        <w:autoSpaceDE w:val="0"/>
        <w:autoSpaceDN w:val="0"/>
        <w:spacing w:before="5" w:line="360" w:lineRule="auto"/>
        <w:ind w:left="1011" w:right="1872" w:firstLine="0" w:firstLineChars="0"/>
        <w:rPr>
          <w:rFonts w:ascii="宋体" w:hAnsi="宋体"/>
          <w:b/>
          <w:szCs w:val="21"/>
        </w:rPr>
      </w:pPr>
      <w:r>
        <w:rPr>
          <w:rFonts w:ascii="宋体" w:hAnsi="宋体"/>
          <w:b/>
          <w:szCs w:val="21"/>
        </w:rPr>
        <w:t>11.证明标的的合格性和符合磋商文件规定的技术文件</w:t>
      </w:r>
    </w:p>
    <w:p>
      <w:pPr>
        <w:pStyle w:val="26"/>
        <w:numPr>
          <w:ilvl w:val="1"/>
          <w:numId w:val="6"/>
        </w:numPr>
        <w:tabs>
          <w:tab w:val="left" w:pos="1612"/>
        </w:tabs>
        <w:autoSpaceDE w:val="0"/>
        <w:autoSpaceDN w:val="0"/>
        <w:spacing w:before="6" w:line="360" w:lineRule="auto"/>
        <w:ind w:right="571" w:firstLine="434" w:firstLineChars="0"/>
        <w:rPr>
          <w:rFonts w:ascii="宋体" w:hAnsi="宋体"/>
          <w:szCs w:val="21"/>
        </w:rPr>
      </w:pPr>
      <w:r>
        <w:rPr>
          <w:rFonts w:ascii="宋体" w:hAnsi="宋体"/>
          <w:szCs w:val="21"/>
        </w:rPr>
        <w:t>供应商应提交磋商文件要求的证明文件，证明其响应内容符合磋商文件规定。该证明文件是响应文件的一部分。</w:t>
      </w:r>
    </w:p>
    <w:p>
      <w:pPr>
        <w:pStyle w:val="26"/>
        <w:numPr>
          <w:ilvl w:val="1"/>
          <w:numId w:val="6"/>
        </w:numPr>
        <w:tabs>
          <w:tab w:val="left" w:pos="1550"/>
        </w:tabs>
        <w:autoSpaceDE w:val="0"/>
        <w:autoSpaceDN w:val="0"/>
        <w:spacing w:before="5" w:line="360" w:lineRule="auto"/>
        <w:ind w:left="1549" w:hanging="541" w:firstLineChars="0"/>
        <w:rPr>
          <w:rFonts w:ascii="宋体" w:hAnsi="宋体"/>
          <w:szCs w:val="21"/>
        </w:rPr>
      </w:pPr>
      <w:r>
        <w:rPr>
          <w:rFonts w:ascii="宋体" w:hAnsi="宋体"/>
          <w:szCs w:val="21"/>
        </w:rPr>
        <w:t>上款所述的证明文件，可以是文字资料、图纸和数据。</w:t>
      </w:r>
    </w:p>
    <w:p>
      <w:pPr>
        <w:pStyle w:val="26"/>
        <w:numPr>
          <w:ilvl w:val="1"/>
          <w:numId w:val="6"/>
        </w:numPr>
        <w:tabs>
          <w:tab w:val="left" w:pos="1550"/>
        </w:tabs>
        <w:autoSpaceDE w:val="0"/>
        <w:autoSpaceDN w:val="0"/>
        <w:spacing w:before="158" w:line="360" w:lineRule="auto"/>
        <w:ind w:left="1549" w:hanging="541" w:firstLineChars="0"/>
        <w:rPr>
          <w:rFonts w:ascii="宋体" w:hAnsi="宋体"/>
          <w:szCs w:val="21"/>
        </w:rPr>
      </w:pPr>
      <w:r>
        <w:rPr>
          <w:rFonts w:ascii="宋体" w:hAnsi="宋体"/>
          <w:szCs w:val="21"/>
        </w:rPr>
        <w:t>本条所指证明文件不包括对磋商文件相关部分的文字、图标的复制。</w:t>
      </w:r>
    </w:p>
    <w:p>
      <w:pPr>
        <w:pStyle w:val="26"/>
        <w:numPr>
          <w:ilvl w:val="1"/>
          <w:numId w:val="6"/>
        </w:numPr>
        <w:tabs>
          <w:tab w:val="left" w:pos="1612"/>
        </w:tabs>
        <w:autoSpaceDE w:val="0"/>
        <w:autoSpaceDN w:val="0"/>
        <w:spacing w:before="160" w:line="360" w:lineRule="auto"/>
        <w:ind w:right="560" w:firstLine="434" w:firstLineChars="0"/>
        <w:rPr>
          <w:rFonts w:ascii="宋体" w:hAnsi="宋体"/>
          <w:szCs w:val="21"/>
        </w:rPr>
      </w:pPr>
      <w:r>
        <w:rPr>
          <w:rFonts w:ascii="宋体" w:hAnsi="宋体"/>
          <w:szCs w:val="21"/>
        </w:rPr>
        <w:t>供应商应注意采购人在采购需求中提供的工艺、材料和设备的参考品牌型号或分类号仅起说明作用，并没有任何限制性。供应商在响应文件中可以选用替代品牌型号或分类号，但这些替代要实质上相当于技术规格的要求，是否满足要求，由磋商小组来评判。</w:t>
      </w:r>
    </w:p>
    <w:p>
      <w:pPr>
        <w:pStyle w:val="26"/>
        <w:numPr>
          <w:ilvl w:val="1"/>
          <w:numId w:val="6"/>
        </w:numPr>
        <w:tabs>
          <w:tab w:val="left" w:pos="1612"/>
        </w:tabs>
        <w:autoSpaceDE w:val="0"/>
        <w:autoSpaceDN w:val="0"/>
        <w:spacing w:before="160" w:line="360" w:lineRule="auto"/>
        <w:ind w:right="560" w:firstLine="434" w:firstLineChars="0"/>
        <w:rPr>
          <w:rFonts w:ascii="宋体" w:hAnsi="宋体" w:eastAsia="宋体" w:cs="Times New Roman"/>
          <w:szCs w:val="21"/>
        </w:rPr>
      </w:pPr>
      <w:r>
        <w:rPr>
          <w:rFonts w:ascii="宋体" w:hAnsi="宋体" w:eastAsia="宋体" w:cs="Times New Roman"/>
          <w:szCs w:val="21"/>
        </w:rPr>
        <w:t>为保证公平公正，除非另有规定或说明，供应商对同一项目磋商时，不得同时提供备选磋商方案。</w:t>
      </w:r>
    </w:p>
    <w:p>
      <w:pPr>
        <w:pStyle w:val="9"/>
        <w:keepNext w:val="0"/>
        <w:keepLines w:val="0"/>
        <w:numPr>
          <w:ilvl w:val="0"/>
          <w:numId w:val="7"/>
        </w:numPr>
        <w:tabs>
          <w:tab w:val="left" w:pos="1377"/>
        </w:tabs>
        <w:autoSpaceDE w:val="0"/>
        <w:autoSpaceDN w:val="0"/>
        <w:spacing w:before="56" w:after="0" w:line="360" w:lineRule="auto"/>
        <w:ind w:hanging="366"/>
        <w:rPr>
          <w:rFonts w:ascii="宋体" w:hAnsi="宋体"/>
          <w:sz w:val="21"/>
          <w:szCs w:val="21"/>
        </w:rPr>
      </w:pPr>
      <w:r>
        <w:rPr>
          <w:rFonts w:ascii="宋体" w:hAnsi="宋体"/>
          <w:sz w:val="21"/>
          <w:szCs w:val="21"/>
        </w:rPr>
        <w:t>报价</w:t>
      </w:r>
    </w:p>
    <w:p>
      <w:pPr>
        <w:pStyle w:val="26"/>
        <w:numPr>
          <w:ilvl w:val="1"/>
          <w:numId w:val="7"/>
        </w:numPr>
        <w:tabs>
          <w:tab w:val="left" w:pos="1612"/>
        </w:tabs>
        <w:autoSpaceDE w:val="0"/>
        <w:autoSpaceDN w:val="0"/>
        <w:spacing w:before="160" w:line="360" w:lineRule="auto"/>
        <w:ind w:right="565" w:firstLine="434" w:firstLineChars="0"/>
        <w:rPr>
          <w:rFonts w:ascii="宋体" w:hAnsi="宋体"/>
          <w:szCs w:val="21"/>
        </w:rPr>
      </w:pPr>
      <w:r>
        <w:rPr>
          <w:rFonts w:ascii="宋体" w:hAnsi="宋体"/>
          <w:szCs w:val="21"/>
        </w:rPr>
        <w:t>供应商的报价应当包括满足本次磋商全部采购需求所应提供的货物， 以及伴随的服务和工程。所有内容均应以人民币报价，供应商的磋商报价应遵守《中华人民共和国价格法》。</w:t>
      </w:r>
    </w:p>
    <w:p>
      <w:pPr>
        <w:pStyle w:val="26"/>
        <w:numPr>
          <w:ilvl w:val="1"/>
          <w:numId w:val="7"/>
        </w:numPr>
        <w:tabs>
          <w:tab w:val="left" w:pos="1612"/>
        </w:tabs>
        <w:autoSpaceDE w:val="0"/>
        <w:autoSpaceDN w:val="0"/>
        <w:spacing w:line="360" w:lineRule="auto"/>
        <w:ind w:right="573" w:firstLine="434" w:firstLineChars="0"/>
        <w:rPr>
          <w:rFonts w:ascii="宋体" w:hAnsi="宋体"/>
          <w:szCs w:val="21"/>
        </w:rPr>
      </w:pPr>
      <w:r>
        <w:rPr>
          <w:rFonts w:ascii="宋体" w:hAnsi="宋体"/>
          <w:szCs w:val="21"/>
        </w:rPr>
        <w:t>供应商应在分项报价表上标明所投货物及相关服务的单价（如适用） 和总价，未标明的视同包含在磋商报价中。</w:t>
      </w:r>
    </w:p>
    <w:p>
      <w:pPr>
        <w:pStyle w:val="26"/>
        <w:numPr>
          <w:ilvl w:val="1"/>
          <w:numId w:val="7"/>
        </w:numPr>
        <w:tabs>
          <w:tab w:val="left" w:pos="1612"/>
        </w:tabs>
        <w:autoSpaceDE w:val="0"/>
        <w:autoSpaceDN w:val="0"/>
        <w:spacing w:line="360" w:lineRule="auto"/>
        <w:ind w:right="573" w:firstLine="434" w:firstLineChars="0"/>
        <w:rPr>
          <w:rFonts w:ascii="宋体" w:hAnsi="宋体"/>
          <w:szCs w:val="21"/>
        </w:rPr>
      </w:pPr>
      <w:r>
        <w:rPr>
          <w:rFonts w:ascii="宋体" w:hAnsi="宋体"/>
          <w:szCs w:val="21"/>
        </w:rPr>
        <w:t>除非磋商文件另有规定或经采购人同意支付的，最后报价均不得高于磋商文件（公告）列明的</w:t>
      </w:r>
      <w:r>
        <w:rPr>
          <w:rFonts w:hint="eastAsia" w:ascii="宋体" w:hAnsi="宋体"/>
          <w:szCs w:val="21"/>
        </w:rPr>
        <w:t>最高限价</w:t>
      </w:r>
      <w:r>
        <w:rPr>
          <w:rFonts w:ascii="宋体" w:hAnsi="宋体"/>
          <w:szCs w:val="21"/>
        </w:rPr>
        <w:t>，否则其响应文件将被认定为</w:t>
      </w:r>
      <w:r>
        <w:rPr>
          <w:rFonts w:ascii="宋体" w:hAnsi="宋体"/>
          <w:b/>
          <w:szCs w:val="21"/>
        </w:rPr>
        <w:t>响应无效</w:t>
      </w:r>
      <w:r>
        <w:rPr>
          <w:rFonts w:ascii="宋体" w:hAnsi="宋体"/>
          <w:szCs w:val="21"/>
        </w:rPr>
        <w:t>。</w:t>
      </w:r>
    </w:p>
    <w:p>
      <w:pPr>
        <w:pStyle w:val="26"/>
        <w:numPr>
          <w:ilvl w:val="1"/>
          <w:numId w:val="7"/>
        </w:numPr>
        <w:tabs>
          <w:tab w:val="left" w:pos="1612"/>
        </w:tabs>
        <w:autoSpaceDE w:val="0"/>
        <w:autoSpaceDN w:val="0"/>
        <w:spacing w:line="360" w:lineRule="auto"/>
        <w:ind w:right="573" w:firstLine="434" w:firstLineChars="0"/>
        <w:rPr>
          <w:rFonts w:ascii="宋体" w:hAnsi="宋体"/>
          <w:szCs w:val="21"/>
        </w:rPr>
      </w:pPr>
      <w:r>
        <w:rPr>
          <w:rFonts w:ascii="宋体" w:hAnsi="宋体"/>
          <w:szCs w:val="21"/>
        </w:rPr>
        <w:t>报价在合同履行过程中是固定不变的，不得以任何理由予以变更。任何包含价格调整要求的磋商，其响应文件将被认定为</w:t>
      </w:r>
      <w:r>
        <w:rPr>
          <w:rFonts w:ascii="宋体" w:hAnsi="宋体"/>
          <w:b/>
          <w:szCs w:val="21"/>
        </w:rPr>
        <w:t>响应无效</w:t>
      </w:r>
      <w:r>
        <w:rPr>
          <w:rFonts w:ascii="宋体" w:hAnsi="宋体"/>
          <w:szCs w:val="21"/>
        </w:rPr>
        <w:t>。</w:t>
      </w:r>
    </w:p>
    <w:p>
      <w:pPr>
        <w:pStyle w:val="26"/>
        <w:numPr>
          <w:ilvl w:val="1"/>
          <w:numId w:val="7"/>
        </w:numPr>
        <w:tabs>
          <w:tab w:val="left" w:pos="1612"/>
        </w:tabs>
        <w:autoSpaceDE w:val="0"/>
        <w:autoSpaceDN w:val="0"/>
        <w:spacing w:line="360" w:lineRule="auto"/>
        <w:ind w:right="573" w:firstLine="434" w:firstLineChars="0"/>
        <w:rPr>
          <w:rFonts w:ascii="宋体" w:hAnsi="宋体" w:eastAsia="宋体" w:cs="Times New Roman"/>
          <w:szCs w:val="21"/>
        </w:rPr>
      </w:pPr>
      <w:r>
        <w:rPr>
          <w:rFonts w:ascii="宋体" w:hAnsi="宋体" w:eastAsia="宋体" w:cs="Times New Roman"/>
          <w:szCs w:val="21"/>
        </w:rPr>
        <w:t>采购人不接受具有附加条件的报价。</w:t>
      </w:r>
    </w:p>
    <w:p>
      <w:pPr>
        <w:pStyle w:val="26"/>
        <w:tabs>
          <w:tab w:val="left" w:pos="1550"/>
        </w:tabs>
        <w:autoSpaceDE w:val="0"/>
        <w:autoSpaceDN w:val="0"/>
        <w:spacing w:line="360" w:lineRule="auto"/>
        <w:ind w:left="1011" w:right="4035" w:firstLine="0" w:firstLineChars="0"/>
        <w:rPr>
          <w:rFonts w:ascii="宋体" w:hAnsi="宋体"/>
          <w:b/>
          <w:szCs w:val="21"/>
        </w:rPr>
      </w:pPr>
      <w:r>
        <w:rPr>
          <w:rFonts w:ascii="宋体" w:hAnsi="宋体"/>
          <w:b/>
          <w:szCs w:val="21"/>
        </w:rPr>
        <w:t>13.磋商保证金</w:t>
      </w:r>
    </w:p>
    <w:p>
      <w:pPr>
        <w:pStyle w:val="26"/>
        <w:numPr>
          <w:ilvl w:val="0"/>
          <w:numId w:val="0"/>
        </w:numPr>
        <w:tabs>
          <w:tab w:val="left" w:pos="1612"/>
        </w:tabs>
        <w:autoSpaceDE w:val="0"/>
        <w:autoSpaceDN w:val="0"/>
        <w:spacing w:line="360" w:lineRule="auto"/>
        <w:ind w:left="1008" w:leftChars="0" w:right="571" w:rightChars="0"/>
        <w:rPr>
          <w:rFonts w:ascii="宋体" w:hAnsi="宋体"/>
          <w:szCs w:val="21"/>
        </w:rPr>
      </w:pPr>
      <w:r>
        <w:rPr>
          <w:rFonts w:ascii="宋体" w:hAnsi="宋体"/>
          <w:szCs w:val="21"/>
        </w:rPr>
        <w:t>详见</w:t>
      </w:r>
      <w:r>
        <w:rPr>
          <w:rFonts w:ascii="宋体" w:hAnsi="宋体"/>
          <w:szCs w:val="21"/>
          <w:u w:val="single"/>
        </w:rPr>
        <w:t>供应商须知前附表</w:t>
      </w:r>
      <w:r>
        <w:rPr>
          <w:rFonts w:ascii="宋体" w:hAnsi="宋体"/>
          <w:szCs w:val="21"/>
        </w:rPr>
        <w:t>。</w:t>
      </w:r>
    </w:p>
    <w:p>
      <w:pPr>
        <w:pStyle w:val="26"/>
        <w:tabs>
          <w:tab w:val="left" w:pos="1611"/>
        </w:tabs>
        <w:autoSpaceDE w:val="0"/>
        <w:autoSpaceDN w:val="0"/>
        <w:spacing w:before="158" w:line="360" w:lineRule="auto"/>
        <w:ind w:left="1011" w:right="1334" w:firstLine="0" w:firstLineChars="0"/>
        <w:jc w:val="left"/>
        <w:rPr>
          <w:rFonts w:ascii="宋体" w:hAnsi="宋体"/>
          <w:b/>
          <w:szCs w:val="21"/>
        </w:rPr>
      </w:pPr>
      <w:r>
        <w:rPr>
          <w:rFonts w:ascii="宋体" w:hAnsi="宋体"/>
          <w:b/>
          <w:szCs w:val="21"/>
        </w:rPr>
        <w:t>14.磋商有效期</w:t>
      </w:r>
    </w:p>
    <w:p>
      <w:pPr>
        <w:pStyle w:val="26"/>
        <w:numPr>
          <w:ilvl w:val="1"/>
          <w:numId w:val="8"/>
        </w:numPr>
        <w:tabs>
          <w:tab w:val="left" w:pos="1612"/>
        </w:tabs>
        <w:autoSpaceDE w:val="0"/>
        <w:autoSpaceDN w:val="0"/>
        <w:spacing w:line="360" w:lineRule="auto"/>
        <w:ind w:right="571" w:firstLine="434" w:firstLineChars="0"/>
        <w:rPr>
          <w:rFonts w:ascii="宋体" w:hAnsi="宋体"/>
          <w:szCs w:val="21"/>
        </w:rPr>
      </w:pPr>
      <w:r>
        <w:rPr>
          <w:rFonts w:ascii="宋体" w:hAnsi="宋体"/>
          <w:szCs w:val="21"/>
        </w:rPr>
        <w:t>磋商有效期为从响应文件提交截止之日算起的日历天数，磋商有效期详见</w:t>
      </w:r>
      <w:r>
        <w:rPr>
          <w:rFonts w:ascii="宋体" w:hAnsi="宋体"/>
          <w:szCs w:val="21"/>
          <w:u w:val="single"/>
        </w:rPr>
        <w:t>供应商须知前附表</w:t>
      </w:r>
      <w:r>
        <w:rPr>
          <w:rFonts w:ascii="宋体" w:hAnsi="宋体"/>
          <w:szCs w:val="21"/>
        </w:rPr>
        <w:t>。</w:t>
      </w:r>
    </w:p>
    <w:p>
      <w:pPr>
        <w:pStyle w:val="26"/>
        <w:numPr>
          <w:ilvl w:val="1"/>
          <w:numId w:val="8"/>
        </w:numPr>
        <w:tabs>
          <w:tab w:val="left" w:pos="1612"/>
        </w:tabs>
        <w:autoSpaceDE w:val="0"/>
        <w:autoSpaceDN w:val="0"/>
        <w:spacing w:line="360" w:lineRule="auto"/>
        <w:ind w:right="563" w:firstLine="434" w:firstLineChars="0"/>
        <w:rPr>
          <w:rFonts w:ascii="宋体" w:hAnsi="宋体"/>
          <w:szCs w:val="21"/>
        </w:rPr>
      </w:pPr>
      <w:r>
        <w:rPr>
          <w:rFonts w:ascii="宋体" w:hAnsi="宋体"/>
          <w:szCs w:val="21"/>
        </w:rPr>
        <w:t>在磋商有效期内，供应商的磋商保持有效，供应商不得要求撤销或修改其响应文件。磋商有效期不满足要求的响应，其响应文件将被认定为</w:t>
      </w:r>
      <w:r>
        <w:rPr>
          <w:rFonts w:ascii="宋体" w:hAnsi="宋体"/>
          <w:b/>
          <w:szCs w:val="21"/>
        </w:rPr>
        <w:t>响应无效</w:t>
      </w:r>
      <w:r>
        <w:rPr>
          <w:rFonts w:ascii="宋体" w:hAnsi="宋体"/>
          <w:szCs w:val="21"/>
        </w:rPr>
        <w:t>。</w:t>
      </w:r>
    </w:p>
    <w:p>
      <w:pPr>
        <w:pStyle w:val="26"/>
        <w:numPr>
          <w:ilvl w:val="1"/>
          <w:numId w:val="8"/>
        </w:numPr>
        <w:tabs>
          <w:tab w:val="left" w:pos="1533"/>
        </w:tabs>
        <w:autoSpaceDE w:val="0"/>
        <w:autoSpaceDN w:val="0"/>
        <w:spacing w:line="360" w:lineRule="auto"/>
        <w:ind w:right="449" w:firstLine="434" w:firstLineChars="0"/>
        <w:rPr>
          <w:rFonts w:ascii="宋体" w:hAnsi="宋体"/>
          <w:szCs w:val="21"/>
        </w:rPr>
      </w:pPr>
      <w:r>
        <w:rPr>
          <w:rFonts w:ascii="宋体" w:hAnsi="宋体"/>
          <w:szCs w:val="21"/>
        </w:rPr>
        <w:t>为保证有充分时间签订合同，采购人或采购代理机构可根据实际情况， 在原磋商有效期截止之前，要求供应商延长磋商有效期。接受该要求的供应商将不会被要求和允许修正其响应文件。供应商可以拒绝延长磋商有效期的要求， 且不承担任何责任。上述要求和答复都应以书面形式提交。</w:t>
      </w:r>
    </w:p>
    <w:p>
      <w:pPr>
        <w:pStyle w:val="9"/>
        <w:keepNext w:val="0"/>
        <w:keepLines w:val="0"/>
        <w:numPr>
          <w:ilvl w:val="0"/>
          <w:numId w:val="9"/>
        </w:numPr>
        <w:tabs>
          <w:tab w:val="left" w:pos="1377"/>
        </w:tabs>
        <w:autoSpaceDE w:val="0"/>
        <w:autoSpaceDN w:val="0"/>
        <w:spacing w:before="0" w:after="0" w:line="360" w:lineRule="auto"/>
        <w:ind w:hanging="366"/>
        <w:rPr>
          <w:rFonts w:ascii="宋体" w:hAnsi="宋体"/>
          <w:sz w:val="21"/>
          <w:szCs w:val="21"/>
        </w:rPr>
      </w:pPr>
      <w:r>
        <w:rPr>
          <w:rFonts w:ascii="宋体" w:hAnsi="宋体"/>
          <w:sz w:val="21"/>
          <w:szCs w:val="21"/>
        </w:rPr>
        <w:t>响应文件的制作</w:t>
      </w:r>
    </w:p>
    <w:p>
      <w:pPr>
        <w:pStyle w:val="26"/>
        <w:numPr>
          <w:ilvl w:val="0"/>
          <w:numId w:val="0"/>
        </w:numPr>
        <w:tabs>
          <w:tab w:val="left" w:pos="1195"/>
        </w:tabs>
        <w:spacing w:before="161" w:line="360" w:lineRule="auto"/>
        <w:ind w:leftChars="200" w:firstLine="210" w:firstLineChars="100"/>
        <w:jc w:val="both"/>
        <w:rPr>
          <w:sz w:val="21"/>
          <w:szCs w:val="21"/>
        </w:rPr>
      </w:pPr>
      <w:r>
        <w:rPr>
          <w:rFonts w:hint="eastAsia"/>
          <w:sz w:val="21"/>
          <w:szCs w:val="21"/>
          <w:lang w:val="en-US" w:eastAsia="zh-CN"/>
        </w:rPr>
        <w:t>15.1</w:t>
      </w:r>
      <w:r>
        <w:rPr>
          <w:sz w:val="21"/>
          <w:szCs w:val="21"/>
        </w:rPr>
        <w:t>本项目响应文件的制作应满足以下规定：</w:t>
      </w:r>
    </w:p>
    <w:p>
      <w:pPr>
        <w:pStyle w:val="26"/>
        <w:numPr>
          <w:ilvl w:val="0"/>
          <w:numId w:val="0"/>
        </w:numPr>
        <w:tabs>
          <w:tab w:val="left" w:pos="1195"/>
        </w:tabs>
        <w:spacing w:before="161" w:line="360" w:lineRule="auto"/>
        <w:ind w:leftChars="200" w:firstLine="210" w:firstLineChars="100"/>
        <w:jc w:val="both"/>
        <w:rPr>
          <w:rFonts w:hint="eastAsia" w:eastAsia="宋体" w:cs="Times New Roman"/>
          <w:sz w:val="21"/>
          <w:szCs w:val="21"/>
          <w:lang w:val="zh-CN" w:eastAsia="zh-CN"/>
        </w:rPr>
      </w:pPr>
      <w:r>
        <w:rPr>
          <w:rFonts w:hint="eastAsia" w:eastAsia="宋体" w:cs="Times New Roman"/>
          <w:sz w:val="21"/>
          <w:szCs w:val="21"/>
          <w:lang w:val="zh-CN" w:eastAsia="zh-CN"/>
        </w:rPr>
        <w:t>1</w:t>
      </w:r>
      <w:r>
        <w:rPr>
          <w:rFonts w:hint="eastAsia" w:cs="Times New Roman"/>
          <w:sz w:val="21"/>
          <w:szCs w:val="21"/>
          <w:lang w:val="en-US" w:eastAsia="zh-CN"/>
        </w:rPr>
        <w:t>.</w:t>
      </w:r>
      <w:r>
        <w:rPr>
          <w:rFonts w:hint="eastAsia" w:eastAsia="宋体" w:cs="Times New Roman"/>
          <w:sz w:val="21"/>
          <w:szCs w:val="21"/>
          <w:lang w:val="zh-CN" w:eastAsia="zh-CN"/>
        </w:rPr>
        <w:t xml:space="preserve"> 响应文件应按第六章“响应文件格式”进行编写，如有必要，可以增加附页，作为响应文件的组成部分。</w:t>
      </w:r>
    </w:p>
    <w:p>
      <w:pPr>
        <w:pStyle w:val="26"/>
        <w:numPr>
          <w:ilvl w:val="0"/>
          <w:numId w:val="0"/>
        </w:numPr>
        <w:tabs>
          <w:tab w:val="left" w:pos="1195"/>
        </w:tabs>
        <w:spacing w:before="161" w:line="360" w:lineRule="auto"/>
        <w:ind w:leftChars="200" w:firstLine="210" w:firstLineChars="100"/>
        <w:jc w:val="both"/>
        <w:rPr>
          <w:rFonts w:hint="eastAsia" w:eastAsia="宋体" w:cs="Times New Roman"/>
          <w:sz w:val="21"/>
          <w:szCs w:val="21"/>
          <w:lang w:val="zh-CN" w:eastAsia="zh-CN"/>
        </w:rPr>
      </w:pPr>
      <w:r>
        <w:rPr>
          <w:rFonts w:hint="eastAsia" w:eastAsia="宋体" w:cs="Times New Roman"/>
          <w:sz w:val="21"/>
          <w:szCs w:val="21"/>
          <w:lang w:val="zh-CN" w:eastAsia="zh-CN"/>
        </w:rPr>
        <w:t>2</w:t>
      </w:r>
      <w:r>
        <w:rPr>
          <w:rFonts w:hint="eastAsia" w:cs="Times New Roman"/>
          <w:sz w:val="21"/>
          <w:szCs w:val="21"/>
          <w:lang w:val="zh-CN" w:eastAsia="zh-CN"/>
        </w:rPr>
        <w:t>.</w:t>
      </w:r>
      <w:r>
        <w:rPr>
          <w:rFonts w:hint="eastAsia" w:eastAsia="宋体" w:cs="Times New Roman"/>
          <w:sz w:val="21"/>
          <w:szCs w:val="21"/>
          <w:lang w:val="zh-CN" w:eastAsia="zh-CN"/>
        </w:rPr>
        <w:t xml:space="preserve"> 响应文件应当对竞争性</w:t>
      </w:r>
      <w:r>
        <w:rPr>
          <w:rFonts w:hint="eastAsia" w:cs="Times New Roman"/>
          <w:sz w:val="21"/>
          <w:szCs w:val="21"/>
          <w:lang w:val="en-US" w:eastAsia="zh-CN"/>
        </w:rPr>
        <w:t>磋商</w:t>
      </w:r>
      <w:r>
        <w:rPr>
          <w:rFonts w:hint="eastAsia" w:eastAsia="宋体" w:cs="Times New Roman"/>
          <w:sz w:val="21"/>
          <w:szCs w:val="21"/>
          <w:lang w:val="zh-CN" w:eastAsia="zh-CN"/>
        </w:rPr>
        <w:t>文件有关工期、投标有效期、质量要求、技术标准和要求、采购范围等实质性内容作出响应。</w:t>
      </w:r>
    </w:p>
    <w:p>
      <w:pPr>
        <w:pStyle w:val="26"/>
        <w:numPr>
          <w:ilvl w:val="0"/>
          <w:numId w:val="0"/>
        </w:numPr>
        <w:tabs>
          <w:tab w:val="left" w:pos="1195"/>
        </w:tabs>
        <w:spacing w:before="161" w:line="360" w:lineRule="auto"/>
        <w:ind w:leftChars="200" w:firstLine="210" w:firstLineChars="100"/>
        <w:jc w:val="both"/>
        <w:rPr>
          <w:rFonts w:hint="eastAsia" w:eastAsia="宋体" w:cs="Times New Roman"/>
          <w:sz w:val="21"/>
          <w:szCs w:val="21"/>
          <w:lang w:val="zh-CN" w:eastAsia="zh-CN"/>
        </w:rPr>
      </w:pPr>
      <w:r>
        <w:rPr>
          <w:rFonts w:hint="eastAsia" w:eastAsia="宋体" w:cs="Times New Roman"/>
          <w:sz w:val="21"/>
          <w:szCs w:val="21"/>
          <w:lang w:val="zh-CN" w:eastAsia="zh-CN"/>
        </w:rPr>
        <w:t>3</w:t>
      </w:r>
      <w:r>
        <w:rPr>
          <w:rFonts w:hint="eastAsia" w:cs="Times New Roman"/>
          <w:sz w:val="21"/>
          <w:szCs w:val="21"/>
          <w:lang w:val="zh-CN" w:eastAsia="zh-CN"/>
        </w:rPr>
        <w:t>.</w:t>
      </w:r>
      <w:r>
        <w:rPr>
          <w:rFonts w:hint="eastAsia" w:eastAsia="宋体" w:cs="Times New Roman"/>
          <w:sz w:val="21"/>
          <w:szCs w:val="21"/>
          <w:lang w:val="zh-CN" w:eastAsia="zh-CN"/>
        </w:rPr>
        <w:t>响应文件</w:t>
      </w:r>
      <w:r>
        <w:rPr>
          <w:rFonts w:hint="eastAsia" w:ascii="宋体" w:hAnsi="宋体" w:eastAsia="宋体" w:cs="Times New Roman"/>
          <w:kern w:val="2"/>
          <w:sz w:val="21"/>
          <w:szCs w:val="21"/>
          <w:lang w:val="zh-CN" w:eastAsia="zh-CN" w:bidi="ar-SA"/>
        </w:rPr>
        <w:t>应用不褪色的材料书写或打印，并由供应商根据招标文件规定签字或盖章。委托代理</w:t>
      </w:r>
      <w:r>
        <w:rPr>
          <w:rFonts w:hint="eastAsia" w:eastAsia="宋体" w:cs="Times New Roman"/>
          <w:sz w:val="21"/>
          <w:szCs w:val="21"/>
          <w:lang w:val="zh-CN" w:eastAsia="zh-CN"/>
        </w:rPr>
        <w:t>人签字的，响应文件应附法定代表人签署的授权委托书。响应文件应尽量避免涂改、行间插字或删除。如果出现上述情况，改动之处应加盖单位章或由供应商的法定代表人或其授权的代理人签字确认。</w:t>
      </w:r>
    </w:p>
    <w:p>
      <w:pPr>
        <w:pStyle w:val="26"/>
        <w:numPr>
          <w:ilvl w:val="0"/>
          <w:numId w:val="0"/>
        </w:numPr>
        <w:tabs>
          <w:tab w:val="left" w:pos="1195"/>
        </w:tabs>
        <w:spacing w:before="161" w:line="360" w:lineRule="auto"/>
        <w:ind w:leftChars="200" w:firstLine="210" w:firstLineChars="100"/>
        <w:jc w:val="both"/>
        <w:rPr>
          <w:rFonts w:hint="eastAsia" w:eastAsia="宋体" w:cs="Times New Roman"/>
          <w:sz w:val="21"/>
          <w:szCs w:val="21"/>
          <w:lang w:val="zh-CN" w:eastAsia="zh-CN"/>
        </w:rPr>
      </w:pPr>
      <w:r>
        <w:rPr>
          <w:rFonts w:hint="eastAsia" w:eastAsia="宋体" w:cs="Times New Roman"/>
          <w:sz w:val="21"/>
          <w:szCs w:val="21"/>
          <w:lang w:val="zh-CN" w:eastAsia="zh-CN"/>
        </w:rPr>
        <w:t>4</w:t>
      </w:r>
      <w:r>
        <w:rPr>
          <w:rFonts w:hint="eastAsia" w:cs="Times New Roman"/>
          <w:sz w:val="21"/>
          <w:szCs w:val="21"/>
          <w:lang w:val="zh-CN" w:eastAsia="zh-CN"/>
        </w:rPr>
        <w:t>.</w:t>
      </w:r>
      <w:r>
        <w:rPr>
          <w:rFonts w:hint="eastAsia" w:eastAsia="宋体" w:cs="Times New Roman"/>
          <w:sz w:val="21"/>
          <w:szCs w:val="21"/>
          <w:lang w:val="zh-CN" w:eastAsia="zh-CN"/>
        </w:rPr>
        <w:t xml:space="preserve"> 响应文件正本一份，副本份数见供应商须知前附表。正本和副本的封面上应清楚地标记“正本”或“副本”的字样。当副本和正本不一致时，以正本为准。</w:t>
      </w:r>
    </w:p>
    <w:p>
      <w:pPr>
        <w:pStyle w:val="26"/>
        <w:numPr>
          <w:ilvl w:val="0"/>
          <w:numId w:val="0"/>
        </w:numPr>
        <w:tabs>
          <w:tab w:val="left" w:pos="1195"/>
        </w:tabs>
        <w:spacing w:before="161" w:line="360" w:lineRule="auto"/>
        <w:ind w:leftChars="200" w:firstLine="210" w:firstLineChars="100"/>
        <w:jc w:val="both"/>
        <w:rPr>
          <w:rFonts w:hint="eastAsia" w:eastAsia="宋体" w:cs="Times New Roman"/>
          <w:sz w:val="21"/>
          <w:szCs w:val="21"/>
          <w:lang w:val="zh-CN" w:eastAsia="zh-CN"/>
        </w:rPr>
      </w:pPr>
      <w:r>
        <w:rPr>
          <w:rFonts w:hint="eastAsia" w:eastAsia="宋体" w:cs="Times New Roman"/>
          <w:sz w:val="21"/>
          <w:szCs w:val="21"/>
          <w:lang w:val="zh-CN" w:eastAsia="zh-CN"/>
        </w:rPr>
        <w:t>5</w:t>
      </w:r>
      <w:r>
        <w:rPr>
          <w:rFonts w:hint="eastAsia" w:cs="Times New Roman"/>
          <w:sz w:val="21"/>
          <w:szCs w:val="21"/>
          <w:lang w:val="zh-CN" w:eastAsia="zh-CN"/>
        </w:rPr>
        <w:t>.</w:t>
      </w:r>
      <w:r>
        <w:rPr>
          <w:rFonts w:hint="eastAsia" w:eastAsia="宋体" w:cs="Times New Roman"/>
          <w:sz w:val="21"/>
          <w:szCs w:val="21"/>
          <w:lang w:val="zh-CN" w:eastAsia="zh-CN"/>
        </w:rPr>
        <w:t xml:space="preserve"> 响应文件的正本与副本应分别装订成册（A4纸幅），并编制目录、且逐页标注连续页码。响应文件一律胶装，不得活页装订，否则按无效标处理，采购人对由于响应文件装订松散而造成的丢失或其他后果不承担任何责任。装订的其他要求见供应商须知前附表。</w:t>
      </w:r>
    </w:p>
    <w:p>
      <w:pPr>
        <w:pStyle w:val="26"/>
        <w:numPr>
          <w:ilvl w:val="0"/>
          <w:numId w:val="0"/>
        </w:numPr>
        <w:tabs>
          <w:tab w:val="left" w:pos="1195"/>
        </w:tabs>
        <w:spacing w:before="161" w:line="360" w:lineRule="auto"/>
        <w:ind w:leftChars="200" w:firstLine="210" w:firstLineChars="100"/>
        <w:jc w:val="both"/>
        <w:rPr>
          <w:rFonts w:hint="default" w:eastAsia="宋体" w:cs="Times New Roman"/>
          <w:sz w:val="21"/>
          <w:szCs w:val="21"/>
          <w:lang w:val="en-US" w:eastAsia="zh-CN"/>
        </w:rPr>
      </w:pPr>
      <w:r>
        <w:rPr>
          <w:rFonts w:hint="eastAsia" w:eastAsia="宋体" w:cs="Times New Roman"/>
          <w:sz w:val="21"/>
          <w:szCs w:val="21"/>
          <w:lang w:val="zh-CN" w:eastAsia="zh-CN"/>
        </w:rPr>
        <w:t>6</w:t>
      </w:r>
      <w:r>
        <w:rPr>
          <w:rFonts w:hint="eastAsia" w:cs="Times New Roman"/>
          <w:sz w:val="21"/>
          <w:szCs w:val="21"/>
          <w:lang w:val="zh-CN" w:eastAsia="zh-CN"/>
        </w:rPr>
        <w:t>.</w:t>
      </w:r>
      <w:r>
        <w:rPr>
          <w:rFonts w:hint="eastAsia" w:eastAsia="宋体" w:cs="Times New Roman"/>
          <w:sz w:val="21"/>
          <w:szCs w:val="21"/>
          <w:lang w:val="en-US" w:eastAsia="zh-CN"/>
        </w:rPr>
        <w:t xml:space="preserve"> </w:t>
      </w:r>
      <w:r>
        <w:rPr>
          <w:rFonts w:hint="eastAsia" w:eastAsia="宋体" w:cs="Times New Roman"/>
          <w:sz w:val="21"/>
          <w:szCs w:val="21"/>
          <w:lang w:val="zh-CN" w:eastAsia="zh-CN"/>
        </w:rPr>
        <w:t>响应文件的内容：</w:t>
      </w:r>
      <w:r>
        <w:rPr>
          <w:rFonts w:hint="eastAsia" w:cs="Times New Roman"/>
          <w:sz w:val="21"/>
          <w:szCs w:val="21"/>
          <w:lang w:val="en-US" w:eastAsia="zh-CN"/>
        </w:rPr>
        <w:t>详见响应文件格式。</w:t>
      </w:r>
    </w:p>
    <w:p>
      <w:pPr>
        <w:pStyle w:val="26"/>
        <w:numPr>
          <w:ilvl w:val="0"/>
          <w:numId w:val="0"/>
        </w:numPr>
        <w:tabs>
          <w:tab w:val="left" w:pos="1195"/>
        </w:tabs>
        <w:spacing w:before="161" w:line="360" w:lineRule="auto"/>
        <w:ind w:leftChars="200" w:firstLine="210" w:firstLineChars="100"/>
        <w:jc w:val="both"/>
        <w:rPr>
          <w:rFonts w:hint="eastAsia" w:eastAsia="宋体" w:cs="Times New Roman"/>
          <w:sz w:val="21"/>
          <w:szCs w:val="21"/>
          <w:lang w:val="en-US" w:eastAsia="zh-CN"/>
        </w:rPr>
      </w:pPr>
      <w:r>
        <w:rPr>
          <w:rFonts w:hint="eastAsia" w:eastAsia="宋体" w:cs="Times New Roman"/>
          <w:sz w:val="21"/>
          <w:szCs w:val="21"/>
          <w:lang w:val="en-US" w:eastAsia="zh-CN"/>
        </w:rPr>
        <w:t>15.2</w:t>
      </w:r>
      <w:r>
        <w:rPr>
          <w:rFonts w:hint="eastAsia" w:cs="Times New Roman"/>
          <w:sz w:val="21"/>
          <w:szCs w:val="21"/>
          <w:lang w:val="en-US" w:eastAsia="zh-CN"/>
        </w:rPr>
        <w:t>磋商</w:t>
      </w:r>
      <w:r>
        <w:rPr>
          <w:rFonts w:hint="eastAsia" w:eastAsia="宋体" w:cs="Times New Roman"/>
          <w:sz w:val="21"/>
          <w:szCs w:val="21"/>
          <w:lang w:val="en-US" w:eastAsia="zh-CN"/>
        </w:rPr>
        <w:t>现场提交的其他材料要求详见供应商须知前附表。</w:t>
      </w:r>
    </w:p>
    <w:p>
      <w:pPr>
        <w:pStyle w:val="26"/>
        <w:tabs>
          <w:tab w:val="left" w:pos="1550"/>
        </w:tabs>
        <w:autoSpaceDE w:val="0"/>
        <w:autoSpaceDN w:val="0"/>
        <w:spacing w:line="360" w:lineRule="auto"/>
        <w:ind w:left="1008" w:right="2114" w:firstLine="0" w:firstLineChars="0"/>
        <w:rPr>
          <w:rFonts w:ascii="宋体" w:hAnsi="宋体"/>
          <w:b/>
          <w:szCs w:val="21"/>
        </w:rPr>
      </w:pPr>
      <w:r>
        <w:rPr>
          <w:rFonts w:ascii="宋体" w:hAnsi="宋体"/>
          <w:b/>
          <w:szCs w:val="21"/>
        </w:rPr>
        <w:t>16.响应文件提交截止时间</w:t>
      </w:r>
    </w:p>
    <w:p>
      <w:pPr>
        <w:pStyle w:val="26"/>
        <w:numPr>
          <w:ilvl w:val="1"/>
          <w:numId w:val="10"/>
        </w:numPr>
        <w:tabs>
          <w:tab w:val="left" w:pos="1612"/>
        </w:tabs>
        <w:autoSpaceDE w:val="0"/>
        <w:autoSpaceDN w:val="0"/>
        <w:spacing w:before="5" w:line="360" w:lineRule="auto"/>
        <w:ind w:right="569" w:firstLine="434" w:firstLineChars="0"/>
        <w:rPr>
          <w:rFonts w:ascii="宋体" w:hAnsi="宋体"/>
          <w:szCs w:val="21"/>
        </w:rPr>
      </w:pPr>
      <w:r>
        <w:rPr>
          <w:rFonts w:ascii="宋体" w:hAnsi="宋体"/>
          <w:szCs w:val="21"/>
        </w:rPr>
        <w:t>供应商应在</w:t>
      </w:r>
      <w:r>
        <w:rPr>
          <w:rFonts w:ascii="宋体" w:hAnsi="宋体"/>
          <w:szCs w:val="21"/>
          <w:u w:val="single"/>
        </w:rPr>
        <w:t>供应商须知前附表</w:t>
      </w:r>
      <w:r>
        <w:rPr>
          <w:rFonts w:ascii="宋体" w:hAnsi="宋体"/>
          <w:szCs w:val="21"/>
        </w:rPr>
        <w:t>中规定的响应文件提交截止时间前，</w:t>
      </w:r>
      <w:r>
        <w:rPr>
          <w:rFonts w:hint="eastAsia" w:ascii="宋体" w:hAnsi="宋体"/>
          <w:szCs w:val="21"/>
          <w:lang w:val="en-US" w:eastAsia="zh-CN"/>
        </w:rPr>
        <w:t>现场递交</w:t>
      </w:r>
      <w:r>
        <w:rPr>
          <w:rFonts w:ascii="宋体" w:hAnsi="宋体"/>
          <w:szCs w:val="21"/>
        </w:rPr>
        <w:t>响应文件。</w:t>
      </w:r>
    </w:p>
    <w:p>
      <w:pPr>
        <w:pStyle w:val="9"/>
        <w:keepNext w:val="0"/>
        <w:keepLines w:val="0"/>
        <w:numPr>
          <w:ilvl w:val="0"/>
          <w:numId w:val="11"/>
        </w:numPr>
        <w:tabs>
          <w:tab w:val="left" w:pos="1377"/>
        </w:tabs>
        <w:autoSpaceDE w:val="0"/>
        <w:autoSpaceDN w:val="0"/>
        <w:spacing w:before="0" w:after="0" w:line="360" w:lineRule="auto"/>
        <w:ind w:hanging="366"/>
        <w:rPr>
          <w:rFonts w:ascii="宋体" w:hAnsi="宋体"/>
          <w:sz w:val="21"/>
          <w:szCs w:val="21"/>
        </w:rPr>
      </w:pPr>
      <w:r>
        <w:rPr>
          <w:rFonts w:ascii="宋体" w:hAnsi="宋体"/>
          <w:sz w:val="21"/>
          <w:szCs w:val="21"/>
        </w:rPr>
        <w:t>响应文件的提交、修改与撤回</w:t>
      </w:r>
    </w:p>
    <w:p>
      <w:pPr>
        <w:pStyle w:val="26"/>
        <w:numPr>
          <w:ilvl w:val="1"/>
          <w:numId w:val="11"/>
        </w:numPr>
        <w:tabs>
          <w:tab w:val="left" w:pos="1612"/>
        </w:tabs>
        <w:autoSpaceDE w:val="0"/>
        <w:autoSpaceDN w:val="0"/>
        <w:spacing w:line="360" w:lineRule="auto"/>
        <w:ind w:right="569" w:firstLine="434" w:firstLineChars="0"/>
        <w:rPr>
          <w:rFonts w:ascii="宋体" w:hAnsi="宋体"/>
          <w:szCs w:val="21"/>
        </w:rPr>
      </w:pPr>
      <w:r>
        <w:rPr>
          <w:rFonts w:ascii="宋体" w:hAnsi="宋体"/>
          <w:szCs w:val="21"/>
        </w:rPr>
        <w:t>供应商应当在第一章</w:t>
      </w:r>
      <w:r>
        <w:rPr>
          <w:rFonts w:hint="eastAsia" w:ascii="宋体" w:hAnsi="宋体"/>
          <w:szCs w:val="21"/>
        </w:rPr>
        <w:t>“</w:t>
      </w:r>
      <w:r>
        <w:rPr>
          <w:rFonts w:ascii="宋体" w:hAnsi="宋体"/>
          <w:szCs w:val="21"/>
        </w:rPr>
        <w:t>磋商公告</w:t>
      </w:r>
      <w:r>
        <w:rPr>
          <w:rFonts w:hint="eastAsia" w:ascii="宋体" w:hAnsi="宋体"/>
          <w:szCs w:val="21"/>
        </w:rPr>
        <w:t>”</w:t>
      </w:r>
      <w:r>
        <w:rPr>
          <w:rFonts w:ascii="宋体" w:hAnsi="宋体"/>
          <w:szCs w:val="21"/>
        </w:rPr>
        <w:t>规定的响应文件提交截止时间前，</w:t>
      </w:r>
      <w:r>
        <w:rPr>
          <w:rFonts w:hint="eastAsia" w:ascii="宋体" w:hAnsi="宋体"/>
          <w:szCs w:val="21"/>
        </w:rPr>
        <w:t>16.1现场递交响应文件。</w:t>
      </w:r>
    </w:p>
    <w:p>
      <w:pPr>
        <w:pStyle w:val="26"/>
        <w:numPr>
          <w:ilvl w:val="1"/>
          <w:numId w:val="11"/>
        </w:numPr>
        <w:tabs>
          <w:tab w:val="left" w:pos="1612"/>
        </w:tabs>
        <w:autoSpaceDE w:val="0"/>
        <w:autoSpaceDN w:val="0"/>
        <w:spacing w:line="360" w:lineRule="auto"/>
        <w:ind w:right="569" w:firstLine="434" w:firstLineChars="0"/>
        <w:rPr>
          <w:rFonts w:ascii="宋体" w:hAnsi="宋体"/>
          <w:szCs w:val="21"/>
        </w:rPr>
      </w:pPr>
      <w:r>
        <w:rPr>
          <w:rFonts w:ascii="宋体" w:hAnsi="宋体"/>
          <w:szCs w:val="21"/>
        </w:rPr>
        <w:t>供应商应当在响应文件提交截止时间前完成响应文件的传输提交并可以补充、修改或者撤回响应文件。响应文件提交截止时间前未完成响应文件传输的，视为撤回响应文件。未按规定响应文件提交截止时间后送达的响应文件，应当拒收。</w:t>
      </w:r>
    </w:p>
    <w:p>
      <w:pPr>
        <w:pStyle w:val="26"/>
        <w:numPr>
          <w:ilvl w:val="1"/>
          <w:numId w:val="11"/>
        </w:numPr>
        <w:tabs>
          <w:tab w:val="left" w:pos="1533"/>
        </w:tabs>
        <w:autoSpaceDE w:val="0"/>
        <w:autoSpaceDN w:val="0"/>
        <w:spacing w:line="360" w:lineRule="auto"/>
        <w:ind w:right="571" w:firstLine="434" w:firstLineChars="0"/>
        <w:rPr>
          <w:rFonts w:ascii="宋体" w:hAnsi="宋体"/>
          <w:szCs w:val="21"/>
        </w:rPr>
      </w:pPr>
      <w:r>
        <w:rPr>
          <w:rFonts w:ascii="宋体" w:hAnsi="宋体"/>
          <w:szCs w:val="21"/>
        </w:rPr>
        <w:t>在响应文件提交截止时间之后，供应商不得对其响应文件做任何修改。但属于磋商小组在评审中发现的计算错误并进行核实的修改、按照磋商文件的变动情况和磋商小组的要求重新提交响应文件的，不在此列。</w:t>
      </w:r>
    </w:p>
    <w:p>
      <w:pPr>
        <w:pStyle w:val="9"/>
        <w:keepNext w:val="0"/>
        <w:keepLines w:val="0"/>
        <w:numPr>
          <w:ilvl w:val="0"/>
          <w:numId w:val="11"/>
        </w:numPr>
        <w:tabs>
          <w:tab w:val="left" w:pos="1377"/>
        </w:tabs>
        <w:autoSpaceDE w:val="0"/>
        <w:autoSpaceDN w:val="0"/>
        <w:spacing w:before="0" w:after="0" w:line="360" w:lineRule="auto"/>
        <w:ind w:hanging="366"/>
        <w:rPr>
          <w:rFonts w:ascii="宋体" w:hAnsi="宋体"/>
          <w:sz w:val="21"/>
          <w:szCs w:val="21"/>
        </w:rPr>
      </w:pPr>
      <w:r>
        <w:rPr>
          <w:rFonts w:ascii="宋体" w:hAnsi="宋体"/>
          <w:sz w:val="21"/>
          <w:szCs w:val="21"/>
        </w:rPr>
        <w:t>磋商小组</w:t>
      </w:r>
    </w:p>
    <w:p>
      <w:pPr>
        <w:pStyle w:val="26"/>
        <w:numPr>
          <w:ilvl w:val="1"/>
          <w:numId w:val="11"/>
        </w:numPr>
        <w:tabs>
          <w:tab w:val="left" w:pos="1583"/>
        </w:tabs>
        <w:autoSpaceDE w:val="0"/>
        <w:autoSpaceDN w:val="0"/>
        <w:spacing w:before="20" w:line="360" w:lineRule="auto"/>
        <w:ind w:right="568" w:firstLine="434" w:firstLineChars="0"/>
        <w:rPr>
          <w:rFonts w:ascii="宋体" w:hAnsi="宋体"/>
          <w:szCs w:val="21"/>
        </w:rPr>
      </w:pPr>
      <w:r>
        <w:rPr>
          <w:rFonts w:ascii="宋体" w:hAnsi="宋体"/>
          <w:szCs w:val="21"/>
        </w:rPr>
        <w:t>本项目将依法组建磋商小组，磋商小组成员由 3 人以上（含）单数组成，磋商小组及其成员应当依照政府采购的有关规定履行相关职责和义务。</w:t>
      </w:r>
    </w:p>
    <w:p>
      <w:pPr>
        <w:pStyle w:val="26"/>
        <w:numPr>
          <w:ilvl w:val="1"/>
          <w:numId w:val="11"/>
        </w:numPr>
        <w:tabs>
          <w:tab w:val="left" w:pos="1612"/>
        </w:tabs>
        <w:autoSpaceDE w:val="0"/>
        <w:autoSpaceDN w:val="0"/>
        <w:spacing w:before="56" w:line="360" w:lineRule="auto"/>
        <w:ind w:right="573" w:firstLine="434" w:firstLineChars="0"/>
        <w:rPr>
          <w:rFonts w:ascii="宋体" w:hAnsi="宋体"/>
          <w:szCs w:val="21"/>
        </w:rPr>
      </w:pPr>
      <w:r>
        <w:rPr>
          <w:rFonts w:ascii="宋体" w:hAnsi="宋体"/>
          <w:szCs w:val="21"/>
        </w:rPr>
        <w:t>磋商小组依法对响应文件进行评审，并根据磋商文件规定的程序、评定成交的标准等事项与实质性响应磋商文件要求的供应商进行磋商。</w:t>
      </w:r>
    </w:p>
    <w:p>
      <w:pPr>
        <w:pStyle w:val="26"/>
        <w:numPr>
          <w:ilvl w:val="1"/>
          <w:numId w:val="11"/>
        </w:numPr>
        <w:tabs>
          <w:tab w:val="left" w:pos="1612"/>
        </w:tabs>
        <w:autoSpaceDE w:val="0"/>
        <w:autoSpaceDN w:val="0"/>
        <w:spacing w:line="360" w:lineRule="auto"/>
        <w:ind w:right="573" w:firstLine="434" w:firstLineChars="0"/>
        <w:rPr>
          <w:rFonts w:ascii="宋体" w:hAnsi="宋体"/>
          <w:szCs w:val="21"/>
        </w:rPr>
      </w:pPr>
      <w:r>
        <w:rPr>
          <w:rFonts w:ascii="宋体" w:hAnsi="宋体"/>
          <w:szCs w:val="21"/>
        </w:rPr>
        <w:t>磋商小组应当从质量和服务均能满足磋商文件实质性响应要求的供应商中，按照评审方法和标准推荐成交候选供应商，并编写评审报告。</w:t>
      </w:r>
    </w:p>
    <w:p>
      <w:pPr>
        <w:pStyle w:val="9"/>
        <w:keepNext w:val="0"/>
        <w:keepLines w:val="0"/>
        <w:numPr>
          <w:ilvl w:val="0"/>
          <w:numId w:val="11"/>
        </w:numPr>
        <w:tabs>
          <w:tab w:val="left" w:pos="1377"/>
        </w:tabs>
        <w:autoSpaceDE w:val="0"/>
        <w:autoSpaceDN w:val="0"/>
        <w:spacing w:before="0" w:after="0" w:line="360" w:lineRule="auto"/>
        <w:ind w:hanging="366"/>
        <w:rPr>
          <w:rFonts w:ascii="宋体" w:hAnsi="宋体"/>
          <w:sz w:val="21"/>
          <w:szCs w:val="21"/>
        </w:rPr>
      </w:pPr>
      <w:r>
        <w:rPr>
          <w:rFonts w:ascii="宋体" w:hAnsi="宋体"/>
          <w:sz w:val="21"/>
          <w:szCs w:val="21"/>
        </w:rPr>
        <w:t>响应文件的评审与磋商</w:t>
      </w:r>
    </w:p>
    <w:p>
      <w:pPr>
        <w:pStyle w:val="26"/>
        <w:numPr>
          <w:ilvl w:val="1"/>
          <w:numId w:val="11"/>
        </w:numPr>
        <w:tabs>
          <w:tab w:val="left" w:pos="1612"/>
        </w:tabs>
        <w:autoSpaceDE w:val="0"/>
        <w:autoSpaceDN w:val="0"/>
        <w:spacing w:before="159" w:line="360" w:lineRule="auto"/>
        <w:ind w:right="570" w:firstLine="434" w:firstLineChars="0"/>
        <w:rPr>
          <w:rFonts w:ascii="宋体" w:hAnsi="宋体"/>
          <w:szCs w:val="21"/>
        </w:rPr>
      </w:pPr>
      <w:r>
        <w:rPr>
          <w:rFonts w:ascii="宋体" w:hAnsi="宋体"/>
          <w:szCs w:val="21"/>
        </w:rPr>
        <w:t>采购人和采购代理机构将在</w:t>
      </w:r>
      <w:r>
        <w:rPr>
          <w:rFonts w:ascii="宋体" w:hAnsi="宋体"/>
          <w:szCs w:val="21"/>
          <w:u w:val="single"/>
        </w:rPr>
        <w:t>供应商须知前附表</w:t>
      </w:r>
      <w:r>
        <w:rPr>
          <w:rFonts w:ascii="宋体" w:hAnsi="宋体"/>
          <w:szCs w:val="21"/>
        </w:rPr>
        <w:t>规定的时间和地点组织磋商。</w:t>
      </w:r>
    </w:p>
    <w:p>
      <w:pPr>
        <w:pStyle w:val="26"/>
        <w:numPr>
          <w:ilvl w:val="1"/>
          <w:numId w:val="11"/>
        </w:numPr>
        <w:tabs>
          <w:tab w:val="left" w:pos="1550"/>
        </w:tabs>
        <w:autoSpaceDE w:val="0"/>
        <w:autoSpaceDN w:val="0"/>
        <w:spacing w:before="6" w:line="360" w:lineRule="auto"/>
        <w:ind w:left="1549" w:hanging="541" w:firstLineChars="0"/>
        <w:rPr>
          <w:rFonts w:ascii="宋体" w:hAnsi="宋体"/>
          <w:szCs w:val="21"/>
        </w:rPr>
      </w:pPr>
      <w:r>
        <w:rPr>
          <w:rFonts w:ascii="宋体" w:hAnsi="宋体"/>
          <w:szCs w:val="21"/>
        </w:rPr>
        <w:t>竞争性磋商活动采用综合评分法评审。</w:t>
      </w:r>
    </w:p>
    <w:p>
      <w:pPr>
        <w:pStyle w:val="11"/>
        <w:spacing w:before="158" w:line="360" w:lineRule="auto"/>
        <w:ind w:left="574" w:right="573" w:firstLine="434"/>
        <w:rPr>
          <w:sz w:val="21"/>
          <w:szCs w:val="21"/>
        </w:rPr>
      </w:pPr>
      <w:r>
        <w:rPr>
          <w:sz w:val="21"/>
          <w:szCs w:val="21"/>
        </w:rPr>
        <w:t>综合评分法，是指响应文件满足磋商文件全部实质性要求且按评审因素的量化指标评审得分最高的供应商为成交候选供应商的评审方法。</w:t>
      </w:r>
    </w:p>
    <w:p>
      <w:pPr>
        <w:pStyle w:val="26"/>
        <w:numPr>
          <w:ilvl w:val="1"/>
          <w:numId w:val="11"/>
        </w:numPr>
        <w:tabs>
          <w:tab w:val="left" w:pos="1612"/>
        </w:tabs>
        <w:autoSpaceDE w:val="0"/>
        <w:autoSpaceDN w:val="0"/>
        <w:spacing w:line="360" w:lineRule="auto"/>
        <w:ind w:right="569" w:firstLine="434" w:firstLineChars="0"/>
        <w:rPr>
          <w:rFonts w:ascii="宋体" w:hAnsi="宋体"/>
          <w:szCs w:val="21"/>
        </w:rPr>
      </w:pPr>
      <w:r>
        <w:rPr>
          <w:rFonts w:ascii="宋体" w:hAnsi="宋体"/>
          <w:szCs w:val="21"/>
        </w:rPr>
        <w:t>磋商小组将按照磋商文件规定的评审方法和标准对供应商独立进行评审。评审程序如下：</w:t>
      </w:r>
    </w:p>
    <w:p>
      <w:pPr>
        <w:pStyle w:val="26"/>
        <w:numPr>
          <w:ilvl w:val="2"/>
          <w:numId w:val="11"/>
        </w:numPr>
        <w:tabs>
          <w:tab w:val="left" w:pos="1852"/>
        </w:tabs>
        <w:autoSpaceDE w:val="0"/>
        <w:autoSpaceDN w:val="0"/>
        <w:spacing w:line="360" w:lineRule="auto"/>
        <w:ind w:right="573" w:firstLine="434" w:firstLineChars="0"/>
        <w:rPr>
          <w:rFonts w:ascii="宋体" w:hAnsi="宋体"/>
          <w:szCs w:val="21"/>
        </w:rPr>
      </w:pPr>
      <w:r>
        <w:rPr>
          <w:rFonts w:ascii="宋体" w:hAnsi="宋体"/>
          <w:b/>
          <w:szCs w:val="21"/>
        </w:rPr>
        <w:t>初审</w:t>
      </w:r>
      <w:r>
        <w:rPr>
          <w:rFonts w:ascii="宋体" w:hAnsi="宋体"/>
          <w:szCs w:val="21"/>
        </w:rPr>
        <w:t>。磋商小组对供应商必须满足和实质性响应的内容进行评审， 供应商未实质性响应磋商文件要求导致响应无效的，磋商小组将以书面询标的方式告知有关供应商。</w:t>
      </w:r>
    </w:p>
    <w:p>
      <w:pPr>
        <w:pStyle w:val="11"/>
        <w:spacing w:line="360" w:lineRule="auto"/>
        <w:ind w:left="574" w:right="563" w:firstLine="470"/>
        <w:jc w:val="both"/>
        <w:rPr>
          <w:sz w:val="21"/>
          <w:szCs w:val="21"/>
        </w:rPr>
      </w:pPr>
      <w:r>
        <w:rPr>
          <w:sz w:val="21"/>
          <w:szCs w:val="21"/>
        </w:rPr>
        <w:t>采购人或采购代理机构将在响应文件提交截止时间后至评审结束前查询供应商的信用记录。供应商存在不良信用记录的，其响应文件将被认定为</w:t>
      </w:r>
      <w:r>
        <w:rPr>
          <w:b/>
          <w:sz w:val="21"/>
          <w:szCs w:val="21"/>
        </w:rPr>
        <w:t>响应无效</w:t>
      </w:r>
      <w:r>
        <w:rPr>
          <w:sz w:val="21"/>
          <w:szCs w:val="21"/>
        </w:rPr>
        <w:t>。</w:t>
      </w:r>
    </w:p>
    <w:p>
      <w:pPr>
        <w:pStyle w:val="26"/>
        <w:numPr>
          <w:ilvl w:val="2"/>
          <w:numId w:val="11"/>
        </w:numPr>
        <w:tabs>
          <w:tab w:val="left" w:pos="1852"/>
        </w:tabs>
        <w:autoSpaceDE w:val="0"/>
        <w:autoSpaceDN w:val="0"/>
        <w:spacing w:before="159" w:line="360" w:lineRule="auto"/>
        <w:ind w:right="571" w:firstLine="434" w:firstLineChars="0"/>
        <w:rPr>
          <w:rFonts w:ascii="宋体" w:hAnsi="宋体"/>
          <w:szCs w:val="21"/>
        </w:rPr>
      </w:pPr>
      <w:r>
        <w:rPr>
          <w:rFonts w:ascii="宋体" w:hAnsi="宋体"/>
          <w:b/>
          <w:szCs w:val="21"/>
        </w:rPr>
        <w:t>磋商</w:t>
      </w:r>
      <w:r>
        <w:rPr>
          <w:rFonts w:ascii="宋体" w:hAnsi="宋体"/>
          <w:szCs w:val="21"/>
        </w:rPr>
        <w:t>。初审合格后，磋商小组将响应文件提交顺序集中与单一供应商分别进行磋商，并给予所有参加磋商的供应商平等的磋商机会，如供应商未到磋商现场的，视同放弃该权利。</w:t>
      </w:r>
    </w:p>
    <w:p>
      <w:pPr>
        <w:pStyle w:val="26"/>
        <w:numPr>
          <w:ilvl w:val="2"/>
          <w:numId w:val="11"/>
        </w:numPr>
        <w:tabs>
          <w:tab w:val="left" w:pos="1852"/>
        </w:tabs>
        <w:autoSpaceDE w:val="0"/>
        <w:autoSpaceDN w:val="0"/>
        <w:spacing w:line="360" w:lineRule="auto"/>
        <w:ind w:right="568" w:firstLine="434" w:firstLineChars="0"/>
        <w:rPr>
          <w:rFonts w:ascii="宋体" w:hAnsi="宋体"/>
          <w:szCs w:val="21"/>
        </w:rPr>
      </w:pPr>
      <w:r>
        <w:rPr>
          <w:rFonts w:ascii="宋体" w:hAnsi="宋体"/>
          <w:b/>
          <w:szCs w:val="21"/>
        </w:rPr>
        <w:t>报价</w:t>
      </w:r>
      <w:r>
        <w:rPr>
          <w:rFonts w:ascii="宋体" w:hAnsi="宋体"/>
          <w:szCs w:val="21"/>
        </w:rPr>
        <w:t>。磋商结束后，磋商小组应当要求所有实质性响应的供应商在规定时间内提交最后报价。</w:t>
      </w:r>
    </w:p>
    <w:p>
      <w:pPr>
        <w:pStyle w:val="26"/>
        <w:numPr>
          <w:ilvl w:val="2"/>
          <w:numId w:val="11"/>
        </w:numPr>
        <w:tabs>
          <w:tab w:val="left" w:pos="1852"/>
        </w:tabs>
        <w:autoSpaceDE w:val="0"/>
        <w:autoSpaceDN w:val="0"/>
        <w:spacing w:before="4" w:line="360" w:lineRule="auto"/>
        <w:ind w:right="570" w:firstLine="434" w:firstLineChars="0"/>
        <w:rPr>
          <w:rFonts w:ascii="宋体" w:hAnsi="宋体"/>
          <w:szCs w:val="21"/>
        </w:rPr>
      </w:pPr>
      <w:r>
        <w:rPr>
          <w:rFonts w:ascii="宋体" w:hAnsi="宋体"/>
          <w:b/>
          <w:szCs w:val="21"/>
        </w:rPr>
        <w:t>综合评分</w:t>
      </w:r>
      <w:r>
        <w:rPr>
          <w:rFonts w:ascii="宋体" w:hAnsi="宋体"/>
          <w:szCs w:val="21"/>
        </w:rPr>
        <w:t>。磋商小组只对通过初审，实质上响应磋商文件要求的响应文件进行综合评分。经磋商确定最终采购需求和提交最后报价的供应商后， 由磋商小组采用综合评分法对提交最后报价的供应商的响应文件和最后报价进行综合评分。</w:t>
      </w:r>
    </w:p>
    <w:p>
      <w:pPr>
        <w:pStyle w:val="26"/>
        <w:numPr>
          <w:ilvl w:val="1"/>
          <w:numId w:val="11"/>
        </w:numPr>
        <w:tabs>
          <w:tab w:val="left" w:pos="1550"/>
        </w:tabs>
        <w:autoSpaceDE w:val="0"/>
        <w:autoSpaceDN w:val="0"/>
        <w:spacing w:line="360" w:lineRule="auto"/>
        <w:ind w:left="1549" w:hanging="541" w:firstLineChars="0"/>
        <w:rPr>
          <w:rFonts w:ascii="宋体" w:hAnsi="宋体"/>
          <w:szCs w:val="21"/>
        </w:rPr>
      </w:pPr>
      <w:r>
        <w:rPr>
          <w:rFonts w:ascii="宋体" w:hAnsi="宋体"/>
          <w:szCs w:val="21"/>
        </w:rPr>
        <w:t>相关说明。</w:t>
      </w:r>
    </w:p>
    <w:p>
      <w:pPr>
        <w:pStyle w:val="26"/>
        <w:numPr>
          <w:ilvl w:val="2"/>
          <w:numId w:val="11"/>
        </w:numPr>
        <w:tabs>
          <w:tab w:val="left" w:pos="1773"/>
        </w:tabs>
        <w:autoSpaceDE w:val="0"/>
        <w:autoSpaceDN w:val="0"/>
        <w:spacing w:before="161" w:line="360" w:lineRule="auto"/>
        <w:ind w:left="1772" w:hanging="764" w:firstLineChars="0"/>
        <w:rPr>
          <w:rFonts w:ascii="宋体" w:hAnsi="宋体"/>
          <w:szCs w:val="21"/>
        </w:rPr>
      </w:pPr>
      <w:r>
        <w:rPr>
          <w:rFonts w:ascii="宋体" w:hAnsi="宋体"/>
          <w:szCs w:val="21"/>
        </w:rPr>
        <w:t>为保证磋商活动顺利进行，供应商可派相关技术人员进行现场答疑；</w:t>
      </w:r>
    </w:p>
    <w:p>
      <w:pPr>
        <w:pStyle w:val="26"/>
        <w:numPr>
          <w:ilvl w:val="2"/>
          <w:numId w:val="11"/>
        </w:numPr>
        <w:tabs>
          <w:tab w:val="left" w:pos="1852"/>
        </w:tabs>
        <w:autoSpaceDE w:val="0"/>
        <w:autoSpaceDN w:val="0"/>
        <w:spacing w:before="158" w:line="360" w:lineRule="auto"/>
        <w:ind w:right="566" w:firstLine="434" w:firstLineChars="0"/>
        <w:rPr>
          <w:rFonts w:ascii="宋体" w:hAnsi="宋体"/>
          <w:szCs w:val="21"/>
        </w:rPr>
      </w:pPr>
      <w:r>
        <w:rPr>
          <w:rFonts w:ascii="宋体" w:hAnsi="宋体"/>
          <w:szCs w:val="21"/>
        </w:rPr>
        <w:t>磋商小组根据与供应商磋商情况可能实质性变动磋商文件的内容， 包括采购需求中的技术、服务要求以及合同草案条款。磋商文件有实质性变动的，经采购人代表确认作为磋商文件的有效组成部分，磋商小组将以书面形式通知所有参加磋商的供应商。</w:t>
      </w:r>
    </w:p>
    <w:p>
      <w:pPr>
        <w:pStyle w:val="26"/>
        <w:numPr>
          <w:ilvl w:val="2"/>
          <w:numId w:val="11"/>
        </w:numPr>
        <w:tabs>
          <w:tab w:val="left" w:pos="1852"/>
        </w:tabs>
        <w:autoSpaceDE w:val="0"/>
        <w:autoSpaceDN w:val="0"/>
        <w:spacing w:line="360" w:lineRule="auto"/>
        <w:ind w:right="573" w:firstLine="434" w:firstLineChars="0"/>
        <w:rPr>
          <w:rFonts w:ascii="宋体" w:hAnsi="宋体"/>
          <w:szCs w:val="21"/>
        </w:rPr>
      </w:pPr>
      <w:r>
        <w:rPr>
          <w:rFonts w:ascii="宋体" w:hAnsi="宋体"/>
          <w:szCs w:val="21"/>
        </w:rPr>
        <w:t>磋商过程中，磋商小组发现供应商的报价或者某些分项报价明显不合理或者低于成本，有可能影响商品质量和不能诚信履约的，应当要求其在规定的期限内提供书面文件予以解释说明，并提交相关证明材料；否则，磋商小组可以取消该供应商的成交候选资格，按顺序由排在后面的成交候选供应商递补，以此类推。</w:t>
      </w:r>
    </w:p>
    <w:p>
      <w:pPr>
        <w:pStyle w:val="26"/>
        <w:numPr>
          <w:ilvl w:val="2"/>
          <w:numId w:val="11"/>
        </w:numPr>
        <w:tabs>
          <w:tab w:val="left" w:pos="1852"/>
        </w:tabs>
        <w:autoSpaceDE w:val="0"/>
        <w:autoSpaceDN w:val="0"/>
        <w:spacing w:line="360" w:lineRule="auto"/>
        <w:ind w:right="569" w:firstLine="434" w:firstLineChars="0"/>
        <w:rPr>
          <w:rFonts w:ascii="宋体" w:hAnsi="宋体"/>
          <w:szCs w:val="21"/>
        </w:rPr>
      </w:pPr>
      <w:r>
        <w:rPr>
          <w:rFonts w:ascii="宋体" w:hAnsi="宋体"/>
          <w:szCs w:val="21"/>
        </w:rPr>
        <w:t>无论何种原因，即使供应商磋商时携带了证书材料的原件，但响应文件中未提供与之内容完全一致的扫描件的，磋商小组可以视同其未提供。</w:t>
      </w:r>
    </w:p>
    <w:p>
      <w:pPr>
        <w:pStyle w:val="26"/>
        <w:numPr>
          <w:ilvl w:val="2"/>
          <w:numId w:val="11"/>
        </w:numPr>
        <w:tabs>
          <w:tab w:val="left" w:pos="1852"/>
        </w:tabs>
        <w:autoSpaceDE w:val="0"/>
        <w:autoSpaceDN w:val="0"/>
        <w:spacing w:before="1" w:line="360" w:lineRule="auto"/>
        <w:ind w:right="573" w:firstLine="434" w:firstLineChars="0"/>
        <w:rPr>
          <w:rFonts w:ascii="宋体" w:hAnsi="宋体"/>
          <w:szCs w:val="21"/>
        </w:rPr>
      </w:pPr>
      <w:r>
        <w:rPr>
          <w:rFonts w:ascii="宋体" w:hAnsi="宋体"/>
          <w:szCs w:val="21"/>
        </w:rPr>
        <w:t>磋商小组决定响应文件的响应性及符合性只根据响应文件本身的内容，而不寻求其他外部证据。</w:t>
      </w:r>
    </w:p>
    <w:p>
      <w:pPr>
        <w:pStyle w:val="26"/>
        <w:numPr>
          <w:ilvl w:val="2"/>
          <w:numId w:val="11"/>
        </w:numPr>
        <w:tabs>
          <w:tab w:val="left" w:pos="1852"/>
        </w:tabs>
        <w:autoSpaceDE w:val="0"/>
        <w:autoSpaceDN w:val="0"/>
        <w:spacing w:before="1" w:line="360" w:lineRule="auto"/>
        <w:ind w:right="573" w:firstLine="434" w:firstLineChars="0"/>
        <w:rPr>
          <w:rFonts w:ascii="宋体" w:hAnsi="宋体" w:eastAsia="宋体" w:cs="Times New Roman"/>
          <w:szCs w:val="21"/>
        </w:rPr>
      </w:pPr>
      <w:r>
        <w:rPr>
          <w:rFonts w:ascii="宋体" w:hAnsi="宋体" w:eastAsia="宋体" w:cs="Times New Roman"/>
          <w:szCs w:val="21"/>
        </w:rPr>
        <w:t>供应商授权代表对磋商过程有疑义，以及认为采购人、采购代理机构相关工作人员有需要回避的情形的，应当场提出询问或者回避申请，并说明理由。</w:t>
      </w:r>
    </w:p>
    <w:p>
      <w:pPr>
        <w:pStyle w:val="9"/>
        <w:keepNext w:val="0"/>
        <w:keepLines w:val="0"/>
        <w:numPr>
          <w:ilvl w:val="0"/>
          <w:numId w:val="11"/>
        </w:numPr>
        <w:tabs>
          <w:tab w:val="left" w:pos="1377"/>
        </w:tabs>
        <w:autoSpaceDE w:val="0"/>
        <w:autoSpaceDN w:val="0"/>
        <w:spacing w:before="160" w:after="0" w:line="360" w:lineRule="auto"/>
        <w:ind w:hanging="366"/>
        <w:rPr>
          <w:rFonts w:ascii="宋体" w:hAnsi="宋体"/>
          <w:sz w:val="21"/>
          <w:szCs w:val="21"/>
        </w:rPr>
      </w:pPr>
      <w:r>
        <w:rPr>
          <w:rFonts w:ascii="宋体" w:hAnsi="宋体"/>
          <w:sz w:val="21"/>
          <w:szCs w:val="21"/>
        </w:rPr>
        <w:t>终止竞争性磋商</w:t>
      </w:r>
    </w:p>
    <w:p>
      <w:pPr>
        <w:pStyle w:val="26"/>
        <w:numPr>
          <w:ilvl w:val="1"/>
          <w:numId w:val="11"/>
        </w:numPr>
        <w:tabs>
          <w:tab w:val="left" w:pos="1612"/>
        </w:tabs>
        <w:autoSpaceDE w:val="0"/>
        <w:autoSpaceDN w:val="0"/>
        <w:spacing w:before="159" w:line="360" w:lineRule="auto"/>
        <w:ind w:right="570" w:firstLine="434" w:firstLineChars="0"/>
        <w:rPr>
          <w:rFonts w:ascii="宋体" w:hAnsi="宋体"/>
          <w:szCs w:val="21"/>
        </w:rPr>
      </w:pPr>
      <w:r>
        <w:rPr>
          <w:rFonts w:ascii="宋体" w:hAnsi="宋体"/>
          <w:szCs w:val="21"/>
        </w:rPr>
        <w:t>出现下列情况之一时，采购人和采购代理机构有权宣布终止竞争性磋商采购，并将理由通知所有供应商：</w:t>
      </w:r>
    </w:p>
    <w:p>
      <w:pPr>
        <w:pStyle w:val="26"/>
        <w:numPr>
          <w:ilvl w:val="0"/>
          <w:numId w:val="12"/>
        </w:numPr>
        <w:tabs>
          <w:tab w:val="left" w:pos="1611"/>
        </w:tabs>
        <w:autoSpaceDE w:val="0"/>
        <w:autoSpaceDN w:val="0"/>
        <w:spacing w:line="360" w:lineRule="auto"/>
        <w:ind w:hanging="602" w:firstLineChars="0"/>
        <w:rPr>
          <w:rFonts w:ascii="宋体" w:hAnsi="宋体"/>
          <w:szCs w:val="21"/>
        </w:rPr>
      </w:pPr>
      <w:r>
        <w:rPr>
          <w:rFonts w:ascii="宋体" w:hAnsi="宋体"/>
          <w:szCs w:val="21"/>
        </w:rPr>
        <w:t>有效供应商数量不足，导致本次磋商缺乏竞争的；</w:t>
      </w:r>
    </w:p>
    <w:p>
      <w:pPr>
        <w:pStyle w:val="26"/>
        <w:numPr>
          <w:ilvl w:val="0"/>
          <w:numId w:val="12"/>
        </w:numPr>
        <w:tabs>
          <w:tab w:val="left" w:pos="1611"/>
        </w:tabs>
        <w:autoSpaceDE w:val="0"/>
        <w:autoSpaceDN w:val="0"/>
        <w:spacing w:before="160" w:line="360" w:lineRule="auto"/>
        <w:ind w:hanging="602" w:firstLineChars="0"/>
        <w:rPr>
          <w:rFonts w:ascii="宋体" w:hAnsi="宋体"/>
          <w:szCs w:val="21"/>
        </w:rPr>
      </w:pPr>
      <w:r>
        <w:rPr>
          <w:rFonts w:ascii="宋体" w:hAnsi="宋体"/>
          <w:szCs w:val="21"/>
        </w:rPr>
        <w:t>出现影响采购公正的违法、违规行为的；</w:t>
      </w:r>
    </w:p>
    <w:p>
      <w:pPr>
        <w:pStyle w:val="26"/>
        <w:numPr>
          <w:ilvl w:val="0"/>
          <w:numId w:val="12"/>
        </w:numPr>
        <w:tabs>
          <w:tab w:val="left" w:pos="1611"/>
        </w:tabs>
        <w:autoSpaceDE w:val="0"/>
        <w:autoSpaceDN w:val="0"/>
        <w:spacing w:before="158" w:line="360" w:lineRule="auto"/>
        <w:ind w:hanging="602" w:firstLineChars="0"/>
        <w:rPr>
          <w:rFonts w:ascii="宋体" w:hAnsi="宋体"/>
          <w:szCs w:val="21"/>
        </w:rPr>
      </w:pPr>
      <w:r>
        <w:rPr>
          <w:rFonts w:ascii="宋体" w:hAnsi="宋体"/>
          <w:szCs w:val="21"/>
        </w:rPr>
        <w:t>因重大变故，采购任务取消的；</w:t>
      </w:r>
    </w:p>
    <w:p>
      <w:pPr>
        <w:pStyle w:val="26"/>
        <w:numPr>
          <w:ilvl w:val="0"/>
          <w:numId w:val="12"/>
        </w:numPr>
        <w:tabs>
          <w:tab w:val="left" w:pos="1611"/>
        </w:tabs>
        <w:autoSpaceDE w:val="0"/>
        <w:autoSpaceDN w:val="0"/>
        <w:spacing w:before="161" w:line="360" w:lineRule="auto"/>
        <w:ind w:left="1011" w:right="3975" w:hanging="3" w:firstLineChars="0"/>
        <w:rPr>
          <w:rFonts w:ascii="宋体" w:hAnsi="宋体"/>
          <w:b/>
          <w:szCs w:val="21"/>
        </w:rPr>
      </w:pPr>
      <w:r>
        <w:rPr>
          <w:rFonts w:ascii="宋体" w:hAnsi="宋体"/>
          <w:szCs w:val="21"/>
        </w:rPr>
        <w:t>政府采购法律法规规定的其他情形。</w:t>
      </w:r>
    </w:p>
    <w:p>
      <w:pPr>
        <w:pStyle w:val="26"/>
        <w:tabs>
          <w:tab w:val="left" w:pos="1611"/>
        </w:tabs>
        <w:autoSpaceDE w:val="0"/>
        <w:autoSpaceDN w:val="0"/>
        <w:spacing w:before="161" w:line="360" w:lineRule="auto"/>
        <w:ind w:left="1011" w:right="3975" w:firstLine="0" w:firstLineChars="0"/>
        <w:rPr>
          <w:rFonts w:ascii="宋体" w:hAnsi="宋体"/>
          <w:b/>
          <w:szCs w:val="21"/>
        </w:rPr>
      </w:pPr>
      <w:r>
        <w:rPr>
          <w:rFonts w:ascii="宋体" w:hAnsi="宋体"/>
          <w:b/>
          <w:szCs w:val="21"/>
        </w:rPr>
        <w:t>21.响应文件的澄清、说明或更正</w:t>
      </w:r>
    </w:p>
    <w:p>
      <w:pPr>
        <w:pStyle w:val="26"/>
        <w:numPr>
          <w:ilvl w:val="1"/>
          <w:numId w:val="13"/>
        </w:numPr>
        <w:tabs>
          <w:tab w:val="left" w:pos="1646"/>
        </w:tabs>
        <w:autoSpaceDE w:val="0"/>
        <w:autoSpaceDN w:val="0"/>
        <w:spacing w:before="5" w:line="360" w:lineRule="auto"/>
        <w:ind w:right="572" w:firstLine="470" w:firstLineChars="0"/>
        <w:rPr>
          <w:rFonts w:ascii="宋体" w:hAnsi="宋体"/>
          <w:szCs w:val="21"/>
        </w:rPr>
      </w:pPr>
      <w:r>
        <w:rPr>
          <w:rFonts w:ascii="宋体" w:hAnsi="宋体"/>
          <w:szCs w:val="21"/>
        </w:rPr>
        <w:t>磋商小组将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对不同文字文本响应文件的解释发生异议的，以中文文本为准。</w:t>
      </w:r>
    </w:p>
    <w:p>
      <w:pPr>
        <w:pStyle w:val="26"/>
        <w:numPr>
          <w:ilvl w:val="1"/>
          <w:numId w:val="13"/>
        </w:numPr>
        <w:tabs>
          <w:tab w:val="left" w:pos="1586"/>
        </w:tabs>
        <w:autoSpaceDE w:val="0"/>
        <w:autoSpaceDN w:val="0"/>
        <w:spacing w:line="360" w:lineRule="auto"/>
        <w:ind w:right="571" w:firstLine="470" w:firstLineChars="0"/>
        <w:rPr>
          <w:rFonts w:ascii="宋体" w:hAnsi="宋体"/>
          <w:szCs w:val="21"/>
        </w:rPr>
      </w:pPr>
      <w:r>
        <w:rPr>
          <w:rFonts w:ascii="宋体" w:hAnsi="宋体"/>
          <w:szCs w:val="21"/>
        </w:rPr>
        <w:t>磋商小组要求供应商澄清、说明或者更正响应文件应当以书面形式（询标）作出。供应商的澄清、说明或者更正应当由法定代表人或其授权代表签字或者加盖公章。</w:t>
      </w:r>
    </w:p>
    <w:p>
      <w:pPr>
        <w:pStyle w:val="9"/>
        <w:keepNext w:val="0"/>
        <w:keepLines w:val="0"/>
        <w:numPr>
          <w:ilvl w:val="0"/>
          <w:numId w:val="14"/>
        </w:numPr>
        <w:tabs>
          <w:tab w:val="left" w:pos="1377"/>
        </w:tabs>
        <w:autoSpaceDE w:val="0"/>
        <w:autoSpaceDN w:val="0"/>
        <w:spacing w:before="0" w:after="0" w:line="360" w:lineRule="auto"/>
        <w:ind w:hanging="366"/>
        <w:rPr>
          <w:rFonts w:ascii="宋体" w:hAnsi="宋体"/>
          <w:sz w:val="21"/>
          <w:szCs w:val="21"/>
        </w:rPr>
      </w:pPr>
      <w:r>
        <w:rPr>
          <w:rFonts w:ascii="宋体" w:hAnsi="宋体"/>
          <w:sz w:val="21"/>
          <w:szCs w:val="21"/>
        </w:rPr>
        <w:t>最后报价</w:t>
      </w:r>
    </w:p>
    <w:p>
      <w:pPr>
        <w:pStyle w:val="26"/>
        <w:numPr>
          <w:ilvl w:val="1"/>
          <w:numId w:val="14"/>
        </w:numPr>
        <w:tabs>
          <w:tab w:val="left" w:pos="1612"/>
        </w:tabs>
        <w:autoSpaceDE w:val="0"/>
        <w:autoSpaceDN w:val="0"/>
        <w:spacing w:before="156" w:line="360" w:lineRule="auto"/>
        <w:ind w:right="573" w:firstLine="434" w:firstLineChars="0"/>
        <w:rPr>
          <w:rFonts w:ascii="宋体" w:hAnsi="宋体"/>
          <w:szCs w:val="21"/>
        </w:rPr>
      </w:pPr>
      <w:r>
        <w:rPr>
          <w:rFonts w:ascii="宋体" w:hAnsi="宋体"/>
          <w:szCs w:val="21"/>
        </w:rPr>
        <w:t>磋商并不限定只进行二轮报价，如果磋商小组认为有必要，可以要求供应商进行多轮报价。</w:t>
      </w:r>
    </w:p>
    <w:p>
      <w:pPr>
        <w:pStyle w:val="26"/>
        <w:numPr>
          <w:ilvl w:val="1"/>
          <w:numId w:val="14"/>
        </w:numPr>
        <w:tabs>
          <w:tab w:val="left" w:pos="1612"/>
        </w:tabs>
        <w:autoSpaceDE w:val="0"/>
        <w:autoSpaceDN w:val="0"/>
        <w:spacing w:before="5" w:line="360" w:lineRule="auto"/>
        <w:ind w:right="573" w:firstLine="434" w:firstLineChars="0"/>
        <w:rPr>
          <w:rFonts w:ascii="宋体" w:hAnsi="宋体"/>
          <w:szCs w:val="21"/>
        </w:rPr>
      </w:pPr>
      <w:r>
        <w:rPr>
          <w:rFonts w:ascii="宋体" w:hAnsi="宋体"/>
          <w:szCs w:val="21"/>
        </w:rPr>
        <w:t>在磋商内容不做实质性变更或重大调整的前提下，供应商下轮报价不得高于上一轮报价。</w:t>
      </w:r>
    </w:p>
    <w:p>
      <w:pPr>
        <w:pStyle w:val="26"/>
        <w:numPr>
          <w:ilvl w:val="1"/>
          <w:numId w:val="14"/>
        </w:numPr>
        <w:tabs>
          <w:tab w:val="left" w:pos="1612"/>
        </w:tabs>
        <w:autoSpaceDE w:val="0"/>
        <w:autoSpaceDN w:val="0"/>
        <w:spacing w:before="5" w:line="360" w:lineRule="auto"/>
        <w:ind w:right="573" w:firstLine="434" w:firstLineChars="0"/>
        <w:rPr>
          <w:rFonts w:ascii="宋体" w:hAnsi="宋体"/>
          <w:szCs w:val="21"/>
        </w:rPr>
      </w:pPr>
      <w:r>
        <w:rPr>
          <w:rFonts w:ascii="宋体" w:hAnsi="宋体"/>
          <w:szCs w:val="21"/>
        </w:rPr>
        <w:t>最后报价是供应商响应文件的有效组成部分，最后报价也是签订合同的依据。</w:t>
      </w:r>
    </w:p>
    <w:p>
      <w:pPr>
        <w:pStyle w:val="9"/>
        <w:keepNext w:val="0"/>
        <w:keepLines w:val="0"/>
        <w:numPr>
          <w:ilvl w:val="0"/>
          <w:numId w:val="14"/>
        </w:numPr>
        <w:tabs>
          <w:tab w:val="left" w:pos="1377"/>
        </w:tabs>
        <w:autoSpaceDE w:val="0"/>
        <w:autoSpaceDN w:val="0"/>
        <w:spacing w:before="0" w:after="0" w:line="360" w:lineRule="auto"/>
        <w:ind w:left="1378" w:hanging="369"/>
        <w:rPr>
          <w:rFonts w:ascii="宋体" w:hAnsi="宋体"/>
          <w:sz w:val="21"/>
          <w:szCs w:val="21"/>
        </w:rPr>
      </w:pPr>
      <w:r>
        <w:rPr>
          <w:rFonts w:ascii="宋体" w:hAnsi="宋体"/>
          <w:sz w:val="21"/>
          <w:szCs w:val="21"/>
        </w:rPr>
        <w:t>成交候选供应商的推荐原则及标准</w:t>
      </w:r>
    </w:p>
    <w:p>
      <w:pPr>
        <w:pStyle w:val="26"/>
        <w:numPr>
          <w:ilvl w:val="1"/>
          <w:numId w:val="14"/>
        </w:numPr>
        <w:tabs>
          <w:tab w:val="left" w:pos="1612"/>
        </w:tabs>
        <w:autoSpaceDE w:val="0"/>
        <w:autoSpaceDN w:val="0"/>
        <w:spacing w:before="120" w:beforeLines="50" w:line="360" w:lineRule="auto"/>
        <w:ind w:left="573" w:right="567" w:firstLine="437" w:firstLineChars="0"/>
        <w:rPr>
          <w:rFonts w:ascii="宋体" w:hAnsi="宋体"/>
          <w:szCs w:val="21"/>
        </w:rPr>
      </w:pPr>
      <w:r>
        <w:rPr>
          <w:rFonts w:ascii="宋体" w:hAnsi="宋体"/>
          <w:szCs w:val="21"/>
        </w:rPr>
        <w:t>磋商小组依据本项目磋商文件所约定的评审方法和标准，按照有效供应商综合总得分由高到低依次推荐成交候选供应商。</w:t>
      </w:r>
    </w:p>
    <w:p>
      <w:pPr>
        <w:pStyle w:val="11"/>
        <w:spacing w:line="360" w:lineRule="auto"/>
        <w:ind w:left="574" w:right="560" w:firstLine="434"/>
        <w:jc w:val="both"/>
        <w:rPr>
          <w:sz w:val="21"/>
          <w:szCs w:val="21"/>
        </w:rPr>
      </w:pPr>
      <w:r>
        <w:rPr>
          <w:sz w:val="21"/>
          <w:szCs w:val="21"/>
        </w:rPr>
        <w:t>综合总得分出现两家或两家以上相同者，按最后报价由低到高排序推荐成交候选供应商；综合总得分且最后报价均相同的，则所投产品为节能产品、环境标志产品、不发达地区或少数民族地区产品者优先；若综合总得分与最后报价均相同且所投产品同为节能产品、环境标志产品、不发达地区或少数民族地区产品的，由磋商小组按照技术指标优劣顺序推荐成交候选供应商。</w:t>
      </w:r>
    </w:p>
    <w:p>
      <w:pPr>
        <w:pStyle w:val="9"/>
        <w:keepNext w:val="0"/>
        <w:keepLines w:val="0"/>
        <w:numPr>
          <w:ilvl w:val="0"/>
          <w:numId w:val="14"/>
        </w:numPr>
        <w:tabs>
          <w:tab w:val="left" w:pos="1377"/>
        </w:tabs>
        <w:autoSpaceDE w:val="0"/>
        <w:autoSpaceDN w:val="0"/>
        <w:spacing w:before="56" w:after="0" w:line="360" w:lineRule="auto"/>
        <w:ind w:hanging="366"/>
        <w:rPr>
          <w:rFonts w:ascii="宋体" w:hAnsi="宋体"/>
          <w:sz w:val="21"/>
          <w:szCs w:val="21"/>
        </w:rPr>
      </w:pPr>
      <w:r>
        <w:rPr>
          <w:rFonts w:ascii="宋体" w:hAnsi="宋体"/>
          <w:sz w:val="21"/>
          <w:szCs w:val="21"/>
        </w:rPr>
        <w:t>确定成交候选供应商和成交供应商</w:t>
      </w:r>
    </w:p>
    <w:p>
      <w:pPr>
        <w:pStyle w:val="26"/>
        <w:numPr>
          <w:ilvl w:val="1"/>
          <w:numId w:val="14"/>
        </w:numPr>
        <w:tabs>
          <w:tab w:val="left" w:pos="1646"/>
        </w:tabs>
        <w:autoSpaceDE w:val="0"/>
        <w:autoSpaceDN w:val="0"/>
        <w:spacing w:before="160" w:line="360" w:lineRule="auto"/>
        <w:ind w:right="566" w:firstLine="470" w:firstLineChars="0"/>
        <w:rPr>
          <w:rFonts w:ascii="宋体" w:hAnsi="宋体"/>
          <w:szCs w:val="21"/>
        </w:rPr>
      </w:pPr>
      <w:r>
        <w:rPr>
          <w:rFonts w:ascii="宋体" w:hAnsi="宋体"/>
          <w:szCs w:val="21"/>
        </w:rPr>
        <w:t>磋商小组根据综合评分的结果和</w:t>
      </w:r>
      <w:r>
        <w:rPr>
          <w:rFonts w:ascii="宋体" w:hAnsi="宋体"/>
          <w:szCs w:val="21"/>
          <w:u w:val="single"/>
        </w:rPr>
        <w:t>供应商须知前附表</w:t>
      </w:r>
      <w:r>
        <w:rPr>
          <w:rFonts w:ascii="宋体" w:hAnsi="宋体"/>
          <w:szCs w:val="21"/>
        </w:rPr>
        <w:t>中规定确定成交候选供应商，并标明排列顺序。排名第一的成交候选供应商经采购人或采购人授权的磋商小组确定为成交供应商后，由采购代理机构在指定媒体上予以公告。</w:t>
      </w:r>
    </w:p>
    <w:p>
      <w:pPr>
        <w:pStyle w:val="9"/>
        <w:keepNext w:val="0"/>
        <w:keepLines w:val="0"/>
        <w:numPr>
          <w:ilvl w:val="0"/>
          <w:numId w:val="14"/>
        </w:numPr>
        <w:tabs>
          <w:tab w:val="left" w:pos="1377"/>
        </w:tabs>
        <w:autoSpaceDE w:val="0"/>
        <w:autoSpaceDN w:val="0"/>
        <w:spacing w:before="0" w:after="0" w:line="360" w:lineRule="auto"/>
        <w:ind w:hanging="366"/>
        <w:rPr>
          <w:rFonts w:ascii="宋体" w:hAnsi="宋体"/>
          <w:sz w:val="21"/>
          <w:szCs w:val="21"/>
        </w:rPr>
      </w:pPr>
      <w:r>
        <w:rPr>
          <w:rFonts w:ascii="宋体" w:hAnsi="宋体"/>
          <w:sz w:val="21"/>
          <w:szCs w:val="21"/>
        </w:rPr>
        <w:t>编写评审报告</w:t>
      </w:r>
    </w:p>
    <w:p>
      <w:pPr>
        <w:pStyle w:val="26"/>
        <w:numPr>
          <w:ilvl w:val="1"/>
          <w:numId w:val="14"/>
        </w:numPr>
        <w:tabs>
          <w:tab w:val="left" w:pos="1612"/>
        </w:tabs>
        <w:autoSpaceDE w:val="0"/>
        <w:autoSpaceDN w:val="0"/>
        <w:spacing w:before="161" w:line="360" w:lineRule="auto"/>
        <w:ind w:right="560" w:firstLine="434" w:firstLineChars="0"/>
        <w:rPr>
          <w:rFonts w:ascii="宋体" w:hAnsi="宋体"/>
          <w:szCs w:val="21"/>
        </w:rPr>
      </w:pPr>
      <w:r>
        <w:rPr>
          <w:rFonts w:ascii="宋体" w:hAnsi="宋体"/>
          <w:szCs w:val="21"/>
        </w:rPr>
        <w:t>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p>
    <w:p>
      <w:pPr>
        <w:pStyle w:val="9"/>
        <w:keepNext w:val="0"/>
        <w:keepLines w:val="0"/>
        <w:numPr>
          <w:ilvl w:val="0"/>
          <w:numId w:val="14"/>
        </w:numPr>
        <w:tabs>
          <w:tab w:val="left" w:pos="1377"/>
        </w:tabs>
        <w:autoSpaceDE w:val="0"/>
        <w:autoSpaceDN w:val="0"/>
        <w:spacing w:before="0" w:after="0" w:line="360" w:lineRule="auto"/>
        <w:ind w:hanging="366"/>
        <w:rPr>
          <w:rFonts w:ascii="宋体" w:hAnsi="宋体"/>
          <w:sz w:val="21"/>
          <w:szCs w:val="21"/>
        </w:rPr>
      </w:pPr>
      <w:r>
        <w:rPr>
          <w:rFonts w:ascii="宋体" w:hAnsi="宋体"/>
          <w:sz w:val="21"/>
          <w:szCs w:val="21"/>
        </w:rPr>
        <w:t>保密要求</w:t>
      </w:r>
    </w:p>
    <w:p>
      <w:pPr>
        <w:pStyle w:val="26"/>
        <w:numPr>
          <w:ilvl w:val="1"/>
          <w:numId w:val="14"/>
        </w:numPr>
        <w:tabs>
          <w:tab w:val="left" w:pos="1550"/>
        </w:tabs>
        <w:autoSpaceDE w:val="0"/>
        <w:autoSpaceDN w:val="0"/>
        <w:spacing w:before="158" w:line="360" w:lineRule="auto"/>
        <w:ind w:left="1549" w:hanging="541" w:firstLineChars="0"/>
        <w:rPr>
          <w:rFonts w:ascii="宋体" w:hAnsi="宋体"/>
          <w:szCs w:val="21"/>
        </w:rPr>
      </w:pPr>
      <w:r>
        <w:rPr>
          <w:rFonts w:ascii="宋体" w:hAnsi="宋体"/>
          <w:szCs w:val="21"/>
        </w:rPr>
        <w:t>评审将在严格保密的情况下进行。</w:t>
      </w:r>
    </w:p>
    <w:p>
      <w:pPr>
        <w:pStyle w:val="26"/>
        <w:numPr>
          <w:ilvl w:val="1"/>
          <w:numId w:val="14"/>
        </w:numPr>
        <w:tabs>
          <w:tab w:val="left" w:pos="1612"/>
        </w:tabs>
        <w:autoSpaceDE w:val="0"/>
        <w:autoSpaceDN w:val="0"/>
        <w:spacing w:before="161" w:line="360" w:lineRule="auto"/>
        <w:ind w:right="568" w:firstLine="434" w:firstLineChars="0"/>
        <w:rPr>
          <w:rFonts w:ascii="宋体" w:hAnsi="宋体"/>
          <w:szCs w:val="21"/>
        </w:rPr>
      </w:pPr>
      <w:r>
        <w:rPr>
          <w:rFonts w:ascii="宋体" w:hAnsi="宋体"/>
          <w:szCs w:val="21"/>
        </w:rPr>
        <w:t>有关人员应当遵守评审工作纪律，不得泄露评审文件、评审情况和评审中获悉的国家秘密、商业秘密。</w:t>
      </w:r>
    </w:p>
    <w:p>
      <w:pPr>
        <w:pStyle w:val="9"/>
        <w:keepNext w:val="0"/>
        <w:keepLines w:val="0"/>
        <w:numPr>
          <w:ilvl w:val="0"/>
          <w:numId w:val="14"/>
        </w:numPr>
        <w:tabs>
          <w:tab w:val="left" w:pos="1377"/>
        </w:tabs>
        <w:autoSpaceDE w:val="0"/>
        <w:autoSpaceDN w:val="0"/>
        <w:spacing w:before="0" w:after="0" w:line="360" w:lineRule="auto"/>
        <w:ind w:hanging="366"/>
        <w:rPr>
          <w:rFonts w:ascii="宋体" w:hAnsi="宋体"/>
          <w:sz w:val="21"/>
          <w:szCs w:val="21"/>
        </w:rPr>
      </w:pPr>
      <w:r>
        <w:rPr>
          <w:rFonts w:ascii="宋体" w:hAnsi="宋体"/>
          <w:sz w:val="21"/>
          <w:szCs w:val="21"/>
        </w:rPr>
        <w:t>成交结果公告</w:t>
      </w:r>
    </w:p>
    <w:p>
      <w:pPr>
        <w:pStyle w:val="26"/>
        <w:numPr>
          <w:ilvl w:val="1"/>
          <w:numId w:val="14"/>
        </w:numPr>
        <w:tabs>
          <w:tab w:val="left" w:pos="1612"/>
        </w:tabs>
        <w:autoSpaceDE w:val="0"/>
        <w:autoSpaceDN w:val="0"/>
        <w:spacing w:before="161" w:line="360" w:lineRule="auto"/>
        <w:ind w:right="569" w:firstLine="434" w:firstLineChars="0"/>
        <w:rPr>
          <w:rFonts w:ascii="宋体" w:hAnsi="宋体"/>
          <w:szCs w:val="21"/>
        </w:rPr>
      </w:pPr>
      <w:r>
        <w:rPr>
          <w:rFonts w:ascii="宋体" w:hAnsi="宋体"/>
          <w:szCs w:val="21"/>
        </w:rPr>
        <w:t>为体现“公开、公平、公正”的原则，磋商结束后，采购代理机构将在</w:t>
      </w:r>
      <w:r>
        <w:rPr>
          <w:rFonts w:hint="eastAsia" w:ascii="宋体" w:hAnsi="宋体"/>
          <w:szCs w:val="21"/>
          <w:lang w:val="en-US" w:eastAsia="zh-CN"/>
        </w:rPr>
        <w:t>指定媒介</w:t>
      </w:r>
      <w:r>
        <w:rPr>
          <w:rFonts w:ascii="宋体" w:hAnsi="宋体"/>
          <w:szCs w:val="21"/>
        </w:rPr>
        <w:t>上发布成交结果公告。</w:t>
      </w:r>
    </w:p>
    <w:p>
      <w:pPr>
        <w:pStyle w:val="26"/>
        <w:numPr>
          <w:ilvl w:val="1"/>
          <w:numId w:val="14"/>
        </w:numPr>
        <w:tabs>
          <w:tab w:val="left" w:pos="1612"/>
        </w:tabs>
        <w:autoSpaceDE w:val="0"/>
        <w:autoSpaceDN w:val="0"/>
        <w:spacing w:before="161" w:line="360" w:lineRule="auto"/>
        <w:ind w:right="569" w:firstLine="434" w:firstLineChars="0"/>
        <w:rPr>
          <w:rFonts w:ascii="宋体" w:hAnsi="宋体"/>
          <w:szCs w:val="21"/>
        </w:rPr>
      </w:pPr>
      <w:r>
        <w:rPr>
          <w:rFonts w:ascii="宋体" w:hAnsi="宋体"/>
          <w:szCs w:val="21"/>
        </w:rPr>
        <w:t>成交结果公告内容应当包括采购人及其委托的采购代理机构的名称、地址、联系方式，项目名称和项目编号，成交供应商名称、地址和成交金额，主要成交标的的名称、规格型号、数量、单价、服务要求，成交结果公告期限、评审专家名单以及</w:t>
      </w:r>
      <w:r>
        <w:rPr>
          <w:rFonts w:ascii="宋体" w:hAnsi="宋体"/>
          <w:szCs w:val="21"/>
          <w:u w:val="single"/>
        </w:rPr>
        <w:t>供应商须知前附表</w:t>
      </w:r>
      <w:r>
        <w:rPr>
          <w:rFonts w:ascii="宋体" w:hAnsi="宋体"/>
          <w:szCs w:val="21"/>
        </w:rPr>
        <w:t>中约定进行公告的内容。</w:t>
      </w:r>
    </w:p>
    <w:p>
      <w:pPr>
        <w:spacing w:line="360" w:lineRule="auto"/>
        <w:ind w:left="1010"/>
        <w:rPr>
          <w:rFonts w:ascii="宋体" w:hAnsi="宋体" w:cs="宋体"/>
          <w:b/>
          <w:color w:val="000000"/>
        </w:rPr>
      </w:pPr>
      <w:r>
        <w:rPr>
          <w:rFonts w:hint="eastAsia" w:ascii="宋体" w:hAnsi="宋体" w:cs="宋体"/>
          <w:b/>
          <w:color w:val="000000"/>
        </w:rPr>
        <w:t>注：</w:t>
      </w:r>
    </w:p>
    <w:p>
      <w:pPr>
        <w:tabs>
          <w:tab w:val="left" w:pos="1612"/>
        </w:tabs>
        <w:autoSpaceDE w:val="0"/>
        <w:autoSpaceDN w:val="0"/>
        <w:spacing w:before="161" w:line="360" w:lineRule="auto"/>
        <w:ind w:right="569" w:firstLine="630" w:firstLineChars="300"/>
        <w:rPr>
          <w:rFonts w:ascii="宋体" w:hAnsi="宋体"/>
        </w:rPr>
      </w:pPr>
      <w:r>
        <w:rPr>
          <w:rFonts w:hint="eastAsia" w:ascii="宋体" w:hAnsi="宋体"/>
        </w:rPr>
        <w:t>1、采购人定标前对成交候选人进行信用查询，如成交候选人存在不良信用记录，采购人应取消成交候选人资格，并按规定予以处理。</w:t>
      </w:r>
    </w:p>
    <w:p>
      <w:pPr>
        <w:tabs>
          <w:tab w:val="left" w:pos="1612"/>
        </w:tabs>
        <w:autoSpaceDE w:val="0"/>
        <w:autoSpaceDN w:val="0"/>
        <w:spacing w:before="161" w:line="360" w:lineRule="auto"/>
        <w:ind w:right="569" w:firstLine="630" w:firstLineChars="300"/>
        <w:rPr>
          <w:rFonts w:ascii="宋体" w:hAnsi="宋体"/>
        </w:rPr>
      </w:pPr>
      <w:r>
        <w:rPr>
          <w:rFonts w:hint="eastAsia" w:ascii="宋体" w:hAnsi="宋体"/>
        </w:rPr>
        <w:t>2、不良信用记录是指：（1）供应商被人民法院列入失信被执行人；（2）供应商或其法定代表人或拟派项目经理（项目负责人）被人民检察院列入行贿犯罪档案；（3）供应商被工商行政管理部门列入企业经营异常名录；（4）供应商被税务部门列入重大税收违法案件当事人名单；（5）供应商被政府采购监管部门列入政府采购严重违法失信行为记录名单，以及存在《中华人民共和国政府采购法实施条例》第十九条规定的行政处罚记录。</w:t>
      </w:r>
    </w:p>
    <w:p>
      <w:pPr>
        <w:tabs>
          <w:tab w:val="left" w:pos="1612"/>
        </w:tabs>
        <w:autoSpaceDE w:val="0"/>
        <w:autoSpaceDN w:val="0"/>
        <w:spacing w:before="161" w:line="360" w:lineRule="auto"/>
        <w:ind w:right="569" w:firstLine="525" w:firstLineChars="250"/>
        <w:rPr>
          <w:rFonts w:ascii="宋体" w:hAnsi="宋体"/>
        </w:rPr>
      </w:pPr>
      <w:r>
        <w:rPr>
          <w:rFonts w:hint="eastAsia" w:ascii="宋体" w:hAnsi="宋体"/>
        </w:rPr>
        <w:t>3、以联合体形式参加磋商的，联合体任何成员存在以上不良信用记录的，不得确定为成交供应商。</w:t>
      </w:r>
    </w:p>
    <w:p>
      <w:pPr>
        <w:tabs>
          <w:tab w:val="left" w:pos="1612"/>
        </w:tabs>
        <w:autoSpaceDE w:val="0"/>
        <w:autoSpaceDN w:val="0"/>
        <w:spacing w:before="161" w:line="360" w:lineRule="auto"/>
        <w:ind w:right="569" w:firstLine="525" w:firstLineChars="250"/>
        <w:rPr>
          <w:rFonts w:ascii="宋体" w:hAnsi="宋体"/>
        </w:rPr>
      </w:pPr>
      <w:r>
        <w:rPr>
          <w:rFonts w:hint="eastAsia" w:ascii="宋体" w:hAnsi="宋体"/>
        </w:rPr>
        <w:t xml:space="preserve">4、信用信息查询渠道：中国政府采购网（www.ccgp.gov.cn）、“信用中国”网站（www.creditchina.gov.cn）。 </w:t>
      </w:r>
    </w:p>
    <w:p>
      <w:pPr>
        <w:tabs>
          <w:tab w:val="left" w:pos="1612"/>
        </w:tabs>
        <w:autoSpaceDE w:val="0"/>
        <w:autoSpaceDN w:val="0"/>
        <w:spacing w:before="161" w:line="360" w:lineRule="auto"/>
        <w:ind w:right="569" w:firstLine="525" w:firstLineChars="250"/>
        <w:rPr>
          <w:rFonts w:ascii="宋体" w:hAnsi="宋体"/>
          <w:strike/>
          <w:color w:val="FF0000"/>
        </w:rPr>
      </w:pPr>
      <w:r>
        <w:rPr>
          <w:rFonts w:hint="eastAsia" w:ascii="宋体" w:hAnsi="宋体"/>
        </w:rPr>
        <w:t>5、信用信息记录方式：采购人将查询网页打印、签字并存档备查。</w:t>
      </w:r>
    </w:p>
    <w:p>
      <w:pPr>
        <w:pStyle w:val="9"/>
        <w:keepNext w:val="0"/>
        <w:keepLines w:val="0"/>
        <w:numPr>
          <w:ilvl w:val="0"/>
          <w:numId w:val="14"/>
        </w:numPr>
        <w:tabs>
          <w:tab w:val="left" w:pos="1377"/>
        </w:tabs>
        <w:autoSpaceDE w:val="0"/>
        <w:autoSpaceDN w:val="0"/>
        <w:spacing w:before="0" w:after="0" w:line="360" w:lineRule="auto"/>
        <w:ind w:hanging="366"/>
        <w:rPr>
          <w:rFonts w:ascii="宋体" w:hAnsi="宋体"/>
          <w:sz w:val="21"/>
          <w:szCs w:val="21"/>
        </w:rPr>
      </w:pPr>
      <w:r>
        <w:rPr>
          <w:rFonts w:ascii="宋体" w:hAnsi="宋体"/>
          <w:sz w:val="21"/>
          <w:szCs w:val="21"/>
        </w:rPr>
        <w:t>成交通知书</w:t>
      </w:r>
    </w:p>
    <w:p>
      <w:pPr>
        <w:pStyle w:val="26"/>
        <w:numPr>
          <w:ilvl w:val="1"/>
          <w:numId w:val="14"/>
        </w:numPr>
        <w:tabs>
          <w:tab w:val="left" w:pos="1612"/>
        </w:tabs>
        <w:autoSpaceDE w:val="0"/>
        <w:autoSpaceDN w:val="0"/>
        <w:spacing w:before="158" w:line="360" w:lineRule="auto"/>
        <w:ind w:right="568" w:firstLine="434" w:firstLineChars="0"/>
        <w:rPr>
          <w:rFonts w:ascii="宋体" w:hAnsi="宋体"/>
          <w:szCs w:val="21"/>
        </w:rPr>
      </w:pPr>
      <w:r>
        <w:rPr>
          <w:rFonts w:ascii="宋体" w:hAnsi="宋体"/>
          <w:szCs w:val="21"/>
        </w:rPr>
        <w:t>采购代理机构发布成交结果公告的同时以</w:t>
      </w:r>
      <w:r>
        <w:rPr>
          <w:rFonts w:ascii="宋体" w:hAnsi="宋体"/>
          <w:szCs w:val="21"/>
          <w:u w:val="single"/>
        </w:rPr>
        <w:t>供应商须知前附表</w:t>
      </w:r>
      <w:r>
        <w:rPr>
          <w:rFonts w:ascii="宋体" w:hAnsi="宋体"/>
          <w:szCs w:val="21"/>
        </w:rPr>
        <w:t>规定的形式向成交供应商发出成交通知书。</w:t>
      </w:r>
    </w:p>
    <w:p>
      <w:pPr>
        <w:pStyle w:val="26"/>
        <w:numPr>
          <w:ilvl w:val="1"/>
          <w:numId w:val="14"/>
        </w:numPr>
        <w:tabs>
          <w:tab w:val="left" w:pos="1612"/>
        </w:tabs>
        <w:autoSpaceDE w:val="0"/>
        <w:autoSpaceDN w:val="0"/>
        <w:spacing w:line="360" w:lineRule="auto"/>
        <w:ind w:right="573" w:firstLine="434" w:firstLineChars="0"/>
        <w:rPr>
          <w:rFonts w:ascii="宋体" w:hAnsi="宋体"/>
          <w:szCs w:val="21"/>
        </w:rPr>
      </w:pPr>
      <w:r>
        <w:rPr>
          <w:rFonts w:ascii="宋体" w:hAnsi="宋体"/>
          <w:szCs w:val="21"/>
        </w:rPr>
        <w:t>成交通知书对采购人和成交供应商具有同等法律效力。成交通知书发出以后，采购人改变成交结果或者成交供应商放弃成交资格，应当承担相应的法律责任。</w:t>
      </w:r>
    </w:p>
    <w:p>
      <w:pPr>
        <w:pStyle w:val="26"/>
        <w:numPr>
          <w:ilvl w:val="1"/>
          <w:numId w:val="14"/>
        </w:numPr>
        <w:tabs>
          <w:tab w:val="left" w:pos="1550"/>
        </w:tabs>
        <w:autoSpaceDE w:val="0"/>
        <w:autoSpaceDN w:val="0"/>
        <w:spacing w:line="360" w:lineRule="auto"/>
        <w:ind w:left="1549" w:hanging="541" w:firstLineChars="0"/>
        <w:rPr>
          <w:rFonts w:ascii="宋体" w:hAnsi="宋体"/>
          <w:szCs w:val="21"/>
        </w:rPr>
      </w:pPr>
      <w:r>
        <w:rPr>
          <w:rFonts w:ascii="宋体" w:hAnsi="宋体"/>
          <w:szCs w:val="21"/>
        </w:rPr>
        <w:t>成交通知书是合同的组成部分。</w:t>
      </w:r>
    </w:p>
    <w:p>
      <w:pPr>
        <w:pStyle w:val="9"/>
        <w:keepNext w:val="0"/>
        <w:keepLines w:val="0"/>
        <w:numPr>
          <w:ilvl w:val="0"/>
          <w:numId w:val="14"/>
        </w:numPr>
        <w:tabs>
          <w:tab w:val="left" w:pos="1377"/>
        </w:tabs>
        <w:autoSpaceDE w:val="0"/>
        <w:autoSpaceDN w:val="0"/>
        <w:spacing w:before="159" w:after="0" w:line="360" w:lineRule="auto"/>
        <w:ind w:hanging="366"/>
        <w:rPr>
          <w:rFonts w:ascii="宋体" w:hAnsi="宋体"/>
          <w:sz w:val="21"/>
          <w:szCs w:val="21"/>
        </w:rPr>
      </w:pPr>
      <w:r>
        <w:rPr>
          <w:rFonts w:ascii="宋体" w:hAnsi="宋体"/>
          <w:sz w:val="21"/>
          <w:szCs w:val="21"/>
        </w:rPr>
        <w:t>告知磋商结果</w:t>
      </w:r>
    </w:p>
    <w:p>
      <w:pPr>
        <w:pStyle w:val="26"/>
        <w:numPr>
          <w:ilvl w:val="1"/>
          <w:numId w:val="14"/>
        </w:numPr>
        <w:tabs>
          <w:tab w:val="left" w:pos="1612"/>
        </w:tabs>
        <w:autoSpaceDE w:val="0"/>
        <w:autoSpaceDN w:val="0"/>
        <w:spacing w:before="56" w:line="360" w:lineRule="auto"/>
        <w:ind w:right="565" w:firstLine="434" w:firstLineChars="0"/>
        <w:rPr>
          <w:rFonts w:ascii="宋体" w:hAnsi="宋体"/>
          <w:szCs w:val="21"/>
        </w:rPr>
      </w:pPr>
      <w:r>
        <w:rPr>
          <w:rFonts w:ascii="宋体" w:hAnsi="宋体"/>
          <w:szCs w:val="21"/>
        </w:rPr>
        <w:t>在公告成交结果的同时，采购代理机构同时以</w:t>
      </w:r>
      <w:r>
        <w:rPr>
          <w:rFonts w:ascii="宋体" w:hAnsi="宋体"/>
          <w:szCs w:val="21"/>
          <w:u w:val="single"/>
        </w:rPr>
        <w:t>供应商须知前附表</w:t>
      </w:r>
      <w:r>
        <w:rPr>
          <w:rFonts w:ascii="宋体" w:hAnsi="宋体"/>
          <w:szCs w:val="21"/>
        </w:rPr>
        <w:t>规定的形式告知未成交供应商本人的评审得分和排序。</w:t>
      </w:r>
    </w:p>
    <w:p>
      <w:pPr>
        <w:pStyle w:val="26"/>
        <w:tabs>
          <w:tab w:val="left" w:pos="1595"/>
        </w:tabs>
        <w:autoSpaceDE w:val="0"/>
        <w:autoSpaceDN w:val="0"/>
        <w:spacing w:line="360" w:lineRule="auto"/>
        <w:ind w:left="1054" w:right="1829" w:firstLine="0" w:firstLineChars="0"/>
        <w:jc w:val="left"/>
        <w:rPr>
          <w:rFonts w:ascii="宋体" w:hAnsi="宋体"/>
          <w:szCs w:val="21"/>
        </w:rPr>
      </w:pPr>
      <w:r>
        <w:rPr>
          <w:rFonts w:hint="eastAsia" w:ascii="宋体" w:hAnsi="宋体"/>
          <w:szCs w:val="21"/>
        </w:rPr>
        <w:t xml:space="preserve">29.2 </w:t>
      </w:r>
      <w:r>
        <w:rPr>
          <w:rFonts w:ascii="宋体" w:hAnsi="宋体"/>
          <w:szCs w:val="21"/>
        </w:rPr>
        <w:t>采购代理机构对未成交的供应商不做未成交原因的解释。</w:t>
      </w:r>
    </w:p>
    <w:p>
      <w:pPr>
        <w:pStyle w:val="26"/>
        <w:tabs>
          <w:tab w:val="left" w:pos="1595"/>
        </w:tabs>
        <w:autoSpaceDE w:val="0"/>
        <w:autoSpaceDN w:val="0"/>
        <w:spacing w:line="360" w:lineRule="auto"/>
        <w:ind w:left="1054" w:right="1829" w:firstLine="0" w:firstLineChars="0"/>
        <w:jc w:val="left"/>
        <w:rPr>
          <w:rFonts w:ascii="宋体" w:hAnsi="宋体"/>
          <w:b/>
          <w:szCs w:val="21"/>
        </w:rPr>
      </w:pPr>
      <w:r>
        <w:rPr>
          <w:rFonts w:ascii="宋体" w:hAnsi="宋体"/>
          <w:b/>
          <w:szCs w:val="21"/>
        </w:rPr>
        <w:t>30.履约保证金</w:t>
      </w:r>
    </w:p>
    <w:p>
      <w:pPr>
        <w:pStyle w:val="26"/>
        <w:numPr>
          <w:ilvl w:val="1"/>
          <w:numId w:val="15"/>
        </w:numPr>
        <w:tabs>
          <w:tab w:val="left" w:pos="1550"/>
        </w:tabs>
        <w:autoSpaceDE w:val="0"/>
        <w:autoSpaceDN w:val="0"/>
        <w:spacing w:line="360" w:lineRule="auto"/>
        <w:ind w:hanging="541" w:firstLineChars="0"/>
        <w:rPr>
          <w:rFonts w:ascii="宋体" w:hAnsi="宋体"/>
          <w:szCs w:val="21"/>
        </w:rPr>
      </w:pPr>
      <w:r>
        <w:rPr>
          <w:rFonts w:ascii="宋体" w:hAnsi="宋体"/>
          <w:szCs w:val="21"/>
        </w:rPr>
        <w:t>成交供应商应按照</w:t>
      </w:r>
      <w:r>
        <w:rPr>
          <w:rFonts w:ascii="宋体" w:hAnsi="宋体"/>
          <w:szCs w:val="21"/>
          <w:u w:val="single"/>
        </w:rPr>
        <w:t>供应商须知前附表</w:t>
      </w:r>
      <w:r>
        <w:rPr>
          <w:rFonts w:ascii="宋体" w:hAnsi="宋体"/>
          <w:szCs w:val="21"/>
        </w:rPr>
        <w:t>规定缴纳履约保证金。</w:t>
      </w:r>
    </w:p>
    <w:p>
      <w:pPr>
        <w:pStyle w:val="26"/>
        <w:numPr>
          <w:ilvl w:val="1"/>
          <w:numId w:val="15"/>
        </w:numPr>
        <w:tabs>
          <w:tab w:val="left" w:pos="1612"/>
        </w:tabs>
        <w:autoSpaceDE w:val="0"/>
        <w:autoSpaceDN w:val="0"/>
        <w:spacing w:before="159" w:line="360" w:lineRule="auto"/>
        <w:ind w:left="574" w:right="573" w:firstLine="434" w:firstLineChars="0"/>
        <w:rPr>
          <w:rFonts w:ascii="宋体" w:hAnsi="宋体"/>
          <w:szCs w:val="21"/>
        </w:rPr>
      </w:pPr>
      <w:r>
        <w:rPr>
          <w:rFonts w:ascii="宋体" w:hAnsi="宋体"/>
          <w:szCs w:val="21"/>
        </w:rPr>
        <w:t>如果成交供应商没有按照上述履约保证金的规定执行，将视为放弃成交资格。在此情况下，采购人可确定下一成交候选供应商为成交供应商，也可以重新开展采购活动。</w:t>
      </w:r>
    </w:p>
    <w:p>
      <w:pPr>
        <w:pStyle w:val="9"/>
        <w:keepNext w:val="0"/>
        <w:keepLines w:val="0"/>
        <w:numPr>
          <w:ilvl w:val="0"/>
          <w:numId w:val="16"/>
        </w:numPr>
        <w:tabs>
          <w:tab w:val="left" w:pos="1377"/>
        </w:tabs>
        <w:autoSpaceDE w:val="0"/>
        <w:autoSpaceDN w:val="0"/>
        <w:spacing w:before="0" w:after="0" w:line="360" w:lineRule="auto"/>
        <w:ind w:hanging="366"/>
        <w:rPr>
          <w:rFonts w:ascii="宋体" w:hAnsi="宋体"/>
          <w:sz w:val="21"/>
          <w:szCs w:val="21"/>
        </w:rPr>
      </w:pPr>
      <w:r>
        <w:rPr>
          <w:rFonts w:ascii="宋体" w:hAnsi="宋体"/>
          <w:sz w:val="21"/>
          <w:szCs w:val="21"/>
        </w:rPr>
        <w:t>成交服务费</w:t>
      </w:r>
    </w:p>
    <w:p>
      <w:pPr>
        <w:pStyle w:val="26"/>
        <w:tabs>
          <w:tab w:val="left" w:pos="1550"/>
        </w:tabs>
        <w:autoSpaceDE w:val="0"/>
        <w:autoSpaceDN w:val="0"/>
        <w:spacing w:before="161" w:line="360" w:lineRule="auto"/>
        <w:ind w:left="1011" w:right="1634" w:firstLine="0" w:firstLineChars="0"/>
        <w:jc w:val="left"/>
        <w:rPr>
          <w:rFonts w:ascii="宋体" w:hAnsi="宋体"/>
          <w:szCs w:val="21"/>
        </w:rPr>
      </w:pPr>
      <w:r>
        <w:rPr>
          <w:rFonts w:hint="eastAsia" w:ascii="宋体" w:hAnsi="宋体"/>
          <w:szCs w:val="21"/>
        </w:rPr>
        <w:t>31.1</w:t>
      </w:r>
      <w:r>
        <w:rPr>
          <w:rFonts w:ascii="宋体" w:hAnsi="宋体"/>
          <w:szCs w:val="21"/>
        </w:rPr>
        <w:t>本项目成交服务费的收取按</w:t>
      </w:r>
      <w:r>
        <w:rPr>
          <w:rFonts w:ascii="宋体" w:hAnsi="宋体"/>
          <w:szCs w:val="21"/>
          <w:u w:val="single"/>
        </w:rPr>
        <w:t>供应商须知前附表</w:t>
      </w:r>
      <w:r>
        <w:rPr>
          <w:rFonts w:ascii="宋体" w:hAnsi="宋体"/>
          <w:szCs w:val="21"/>
        </w:rPr>
        <w:t>的规定执行。</w:t>
      </w:r>
    </w:p>
    <w:p>
      <w:pPr>
        <w:pStyle w:val="26"/>
        <w:tabs>
          <w:tab w:val="left" w:pos="1550"/>
        </w:tabs>
        <w:autoSpaceDE w:val="0"/>
        <w:autoSpaceDN w:val="0"/>
        <w:spacing w:before="161" w:line="360" w:lineRule="auto"/>
        <w:ind w:left="1011" w:right="1634" w:firstLine="0" w:firstLineChars="0"/>
        <w:jc w:val="left"/>
        <w:rPr>
          <w:rFonts w:ascii="宋体" w:hAnsi="宋体"/>
          <w:b/>
          <w:szCs w:val="21"/>
        </w:rPr>
      </w:pPr>
      <w:r>
        <w:rPr>
          <w:rFonts w:ascii="宋体" w:hAnsi="宋体"/>
          <w:b/>
          <w:szCs w:val="21"/>
        </w:rPr>
        <w:t>32.签订合同</w:t>
      </w:r>
    </w:p>
    <w:p>
      <w:pPr>
        <w:pStyle w:val="26"/>
        <w:numPr>
          <w:ilvl w:val="1"/>
          <w:numId w:val="17"/>
        </w:numPr>
        <w:tabs>
          <w:tab w:val="left" w:pos="1559"/>
        </w:tabs>
        <w:autoSpaceDE w:val="0"/>
        <w:autoSpaceDN w:val="0"/>
        <w:spacing w:before="5" w:line="360" w:lineRule="auto"/>
        <w:ind w:firstLineChars="0"/>
        <w:rPr>
          <w:rFonts w:ascii="宋体" w:hAnsi="宋体"/>
          <w:szCs w:val="21"/>
        </w:rPr>
      </w:pPr>
      <w:r>
        <w:rPr>
          <w:rFonts w:ascii="宋体" w:hAnsi="宋体"/>
          <w:szCs w:val="21"/>
        </w:rPr>
        <w:t>采购人与成交供应商应当自发出成交通知书之日起 30 日内签订合同。</w:t>
      </w:r>
    </w:p>
    <w:p>
      <w:pPr>
        <w:pStyle w:val="26"/>
        <w:numPr>
          <w:ilvl w:val="1"/>
          <w:numId w:val="17"/>
        </w:numPr>
        <w:tabs>
          <w:tab w:val="left" w:pos="1612"/>
        </w:tabs>
        <w:autoSpaceDE w:val="0"/>
        <w:autoSpaceDN w:val="0"/>
        <w:spacing w:before="160" w:line="360" w:lineRule="auto"/>
        <w:ind w:left="574" w:right="573" w:firstLine="434" w:firstLineChars="0"/>
        <w:rPr>
          <w:rFonts w:ascii="宋体" w:hAnsi="宋体"/>
          <w:szCs w:val="21"/>
        </w:rPr>
      </w:pPr>
      <w:r>
        <w:rPr>
          <w:rFonts w:ascii="宋体" w:hAnsi="宋体"/>
          <w:szCs w:val="21"/>
        </w:rPr>
        <w:t>磋商文件、成交供应商的响应文件及其澄清文件等，均为签订合同的依据。</w:t>
      </w:r>
    </w:p>
    <w:p>
      <w:pPr>
        <w:pStyle w:val="26"/>
        <w:numPr>
          <w:ilvl w:val="1"/>
          <w:numId w:val="17"/>
        </w:numPr>
        <w:tabs>
          <w:tab w:val="left" w:pos="1646"/>
        </w:tabs>
        <w:autoSpaceDE w:val="0"/>
        <w:autoSpaceDN w:val="0"/>
        <w:spacing w:line="360" w:lineRule="auto"/>
        <w:ind w:left="574" w:right="572" w:firstLine="470" w:firstLineChars="0"/>
        <w:rPr>
          <w:rFonts w:ascii="宋体" w:hAnsi="宋体"/>
          <w:szCs w:val="21"/>
        </w:rPr>
      </w:pPr>
      <w:r>
        <w:rPr>
          <w:rFonts w:ascii="宋体" w:hAnsi="宋体"/>
          <w:szCs w:val="21"/>
        </w:rPr>
        <w:t>成交供应商拒绝与采购人签订合同的，采购人可以按照评审报告推荐的成交候选供应商名单排序，确定下一成交候选供应商为成交供应商，也可以重新开展采购活动。成交供应商拒绝签订政府采购合同的不得参加对该项目重新开展的采购活动。</w:t>
      </w:r>
    </w:p>
    <w:p>
      <w:pPr>
        <w:pStyle w:val="9"/>
        <w:keepNext w:val="0"/>
        <w:keepLines w:val="0"/>
        <w:numPr>
          <w:ilvl w:val="0"/>
          <w:numId w:val="18"/>
        </w:numPr>
        <w:tabs>
          <w:tab w:val="left" w:pos="1377"/>
        </w:tabs>
        <w:autoSpaceDE w:val="0"/>
        <w:autoSpaceDN w:val="0"/>
        <w:spacing w:before="0" w:after="0" w:line="360" w:lineRule="auto"/>
        <w:ind w:hanging="366"/>
        <w:rPr>
          <w:rFonts w:ascii="宋体" w:hAnsi="宋体"/>
          <w:sz w:val="21"/>
          <w:szCs w:val="21"/>
        </w:rPr>
      </w:pPr>
      <w:r>
        <w:rPr>
          <w:rFonts w:ascii="宋体" w:hAnsi="宋体"/>
          <w:sz w:val="21"/>
          <w:szCs w:val="21"/>
        </w:rPr>
        <w:t>廉洁自律规定</w:t>
      </w:r>
    </w:p>
    <w:p>
      <w:pPr>
        <w:pStyle w:val="26"/>
        <w:numPr>
          <w:ilvl w:val="1"/>
          <w:numId w:val="18"/>
        </w:numPr>
        <w:tabs>
          <w:tab w:val="left" w:pos="1612"/>
        </w:tabs>
        <w:autoSpaceDE w:val="0"/>
        <w:autoSpaceDN w:val="0"/>
        <w:spacing w:before="158" w:line="360" w:lineRule="auto"/>
        <w:ind w:right="573" w:firstLine="434" w:firstLineChars="0"/>
        <w:rPr>
          <w:rFonts w:ascii="宋体" w:hAnsi="宋体"/>
          <w:szCs w:val="21"/>
        </w:rPr>
      </w:pPr>
      <w:r>
        <w:rPr>
          <w:rFonts w:ascii="宋体" w:hAnsi="宋体"/>
          <w:szCs w:val="21"/>
        </w:rPr>
        <w:t>采购代理机构工作人员不得以不正当手段获取政府采购代理业务，不得与采购人、供应商恶意串通。</w:t>
      </w:r>
    </w:p>
    <w:p>
      <w:pPr>
        <w:pStyle w:val="26"/>
        <w:numPr>
          <w:ilvl w:val="1"/>
          <w:numId w:val="18"/>
        </w:numPr>
        <w:tabs>
          <w:tab w:val="left" w:pos="1533"/>
        </w:tabs>
        <w:autoSpaceDE w:val="0"/>
        <w:autoSpaceDN w:val="0"/>
        <w:spacing w:line="360" w:lineRule="auto"/>
        <w:ind w:right="571" w:firstLine="434" w:firstLineChars="0"/>
        <w:rPr>
          <w:rFonts w:ascii="宋体" w:hAnsi="宋体"/>
          <w:szCs w:val="21"/>
        </w:rPr>
      </w:pPr>
      <w:r>
        <w:rPr>
          <w:rFonts w:ascii="宋体" w:hAnsi="宋体"/>
          <w:szCs w:val="21"/>
        </w:rPr>
        <w:t>采购代理机构工作人员不得接受采购人或者供应商组织的宴请、旅游、娱乐，不得收受礼品、现金、有价证券等，不得向采购人或者供应商报销应当由个人承担的费用。</w:t>
      </w:r>
    </w:p>
    <w:p>
      <w:pPr>
        <w:pStyle w:val="9"/>
        <w:keepNext w:val="0"/>
        <w:keepLines w:val="0"/>
        <w:numPr>
          <w:ilvl w:val="0"/>
          <w:numId w:val="18"/>
        </w:numPr>
        <w:tabs>
          <w:tab w:val="left" w:pos="1377"/>
        </w:tabs>
        <w:autoSpaceDE w:val="0"/>
        <w:autoSpaceDN w:val="0"/>
        <w:spacing w:before="0" w:after="0" w:line="360" w:lineRule="auto"/>
        <w:ind w:hanging="366"/>
        <w:rPr>
          <w:rFonts w:ascii="宋体" w:hAnsi="宋体"/>
          <w:sz w:val="21"/>
          <w:szCs w:val="21"/>
        </w:rPr>
      </w:pPr>
      <w:r>
        <w:rPr>
          <w:rFonts w:ascii="宋体" w:hAnsi="宋体"/>
          <w:sz w:val="21"/>
          <w:szCs w:val="21"/>
        </w:rPr>
        <w:t>质疑的提出与接收</w:t>
      </w:r>
    </w:p>
    <w:p>
      <w:pPr>
        <w:pStyle w:val="26"/>
        <w:numPr>
          <w:ilvl w:val="1"/>
          <w:numId w:val="18"/>
        </w:numPr>
        <w:tabs>
          <w:tab w:val="left" w:pos="1550"/>
        </w:tabs>
        <w:autoSpaceDE w:val="0"/>
        <w:autoSpaceDN w:val="0"/>
        <w:spacing w:before="157" w:line="360" w:lineRule="auto"/>
        <w:ind w:right="573" w:firstLine="434" w:firstLineChars="0"/>
        <w:rPr>
          <w:rFonts w:ascii="宋体" w:hAnsi="宋体"/>
          <w:szCs w:val="21"/>
        </w:rPr>
      </w:pPr>
      <w:r>
        <w:rPr>
          <w:rFonts w:ascii="宋体" w:hAnsi="宋体"/>
          <w:szCs w:val="21"/>
        </w:rPr>
        <w:t>供应商认为磋商文件、采购过程、成交结果使自己的权益受到损害的， 可以根据《中华人民共和国政府采购法》、《中华人民共和国政府采购法实施条例》和《政府采购质疑和投诉办法》的有关规定，依法向采购人或其委托的采购代理机构提出质疑。</w:t>
      </w:r>
    </w:p>
    <w:p>
      <w:pPr>
        <w:pStyle w:val="26"/>
        <w:numPr>
          <w:ilvl w:val="1"/>
          <w:numId w:val="18"/>
        </w:numPr>
        <w:tabs>
          <w:tab w:val="left" w:pos="1550"/>
        </w:tabs>
        <w:autoSpaceDE w:val="0"/>
        <w:autoSpaceDN w:val="0"/>
        <w:spacing w:before="157" w:line="360" w:lineRule="auto"/>
        <w:ind w:right="573" w:firstLine="434" w:firstLineChars="0"/>
        <w:rPr>
          <w:rFonts w:ascii="宋体" w:hAnsi="宋体"/>
          <w:szCs w:val="21"/>
        </w:rPr>
      </w:pPr>
      <w:r>
        <w:rPr>
          <w:rFonts w:ascii="宋体" w:hAnsi="宋体"/>
          <w:szCs w:val="21"/>
        </w:rPr>
        <w:t>质疑供应商应按照财政部制定的《政府采购质疑函范本》格式和《政府采购质疑和投诉办法》的要求，在法定质疑期内</w:t>
      </w:r>
      <w:r>
        <w:rPr>
          <w:rFonts w:hint="eastAsia" w:ascii="宋体" w:hAnsi="宋体" w:cs="宋体"/>
          <w:szCs w:val="21"/>
        </w:rPr>
        <w:t>书面提出</w:t>
      </w:r>
      <w:r>
        <w:rPr>
          <w:rFonts w:ascii="宋体" w:hAnsi="宋体"/>
          <w:szCs w:val="21"/>
        </w:rPr>
        <w:t>，超出法定质疑期提交的质疑将被拒绝。针对同一采购程序环节的质疑应一次性提出。</w:t>
      </w:r>
    </w:p>
    <w:p>
      <w:pPr>
        <w:pStyle w:val="11"/>
        <w:spacing w:line="360" w:lineRule="auto"/>
        <w:ind w:left="574" w:right="573" w:firstLine="434"/>
        <w:rPr>
          <w:sz w:val="21"/>
          <w:szCs w:val="21"/>
        </w:rPr>
      </w:pPr>
      <w:r>
        <w:rPr>
          <w:sz w:val="21"/>
          <w:szCs w:val="21"/>
        </w:rPr>
        <w:t>超出法定质疑期的、重复提出的、分次提出的或内容、形式不符合《政府采购质疑和投诉办法》的，质疑供应商将依法承担不利后果。</w:t>
      </w:r>
    </w:p>
    <w:p>
      <w:pPr>
        <w:pStyle w:val="26"/>
        <w:numPr>
          <w:ilvl w:val="1"/>
          <w:numId w:val="18"/>
        </w:numPr>
        <w:tabs>
          <w:tab w:val="left" w:pos="1612"/>
        </w:tabs>
        <w:autoSpaceDE w:val="0"/>
        <w:autoSpaceDN w:val="0"/>
        <w:spacing w:before="4" w:line="360" w:lineRule="auto"/>
        <w:ind w:right="568" w:firstLine="434" w:firstLineChars="0"/>
        <w:rPr>
          <w:rFonts w:ascii="宋体" w:hAnsi="宋体"/>
          <w:szCs w:val="21"/>
        </w:rPr>
      </w:pPr>
      <w:r>
        <w:rPr>
          <w:rFonts w:ascii="宋体" w:hAnsi="宋体"/>
          <w:szCs w:val="21"/>
        </w:rPr>
        <w:t>采购代理机构质疑函接收部门、联系电话和通讯地址，见</w:t>
      </w:r>
      <w:r>
        <w:rPr>
          <w:rFonts w:ascii="宋体" w:hAnsi="宋体"/>
          <w:szCs w:val="21"/>
          <w:u w:val="single"/>
        </w:rPr>
        <w:t>供应商须知前附表</w:t>
      </w:r>
      <w:r>
        <w:rPr>
          <w:rFonts w:ascii="宋体" w:hAnsi="宋体"/>
          <w:szCs w:val="21"/>
        </w:rPr>
        <w:t>。</w:t>
      </w:r>
    </w:p>
    <w:p>
      <w:pPr>
        <w:pStyle w:val="9"/>
        <w:keepNext w:val="0"/>
        <w:keepLines w:val="0"/>
        <w:numPr>
          <w:ilvl w:val="0"/>
          <w:numId w:val="18"/>
        </w:numPr>
        <w:tabs>
          <w:tab w:val="left" w:pos="1377"/>
        </w:tabs>
        <w:autoSpaceDE w:val="0"/>
        <w:autoSpaceDN w:val="0"/>
        <w:spacing w:before="6" w:after="0" w:line="360" w:lineRule="auto"/>
        <w:ind w:hanging="366"/>
        <w:rPr>
          <w:rFonts w:ascii="宋体" w:hAnsi="宋体"/>
          <w:sz w:val="21"/>
          <w:szCs w:val="21"/>
        </w:rPr>
      </w:pPr>
      <w:r>
        <w:rPr>
          <w:rFonts w:ascii="宋体" w:hAnsi="宋体"/>
          <w:sz w:val="21"/>
          <w:szCs w:val="21"/>
        </w:rPr>
        <w:t>需要补充的其他内容</w:t>
      </w:r>
    </w:p>
    <w:p>
      <w:pPr>
        <w:pStyle w:val="11"/>
        <w:spacing w:before="158" w:line="360" w:lineRule="auto"/>
        <w:ind w:left="1009"/>
        <w:rPr>
          <w:sz w:val="21"/>
          <w:szCs w:val="21"/>
        </w:rPr>
      </w:pPr>
      <w:r>
        <w:rPr>
          <w:sz w:val="21"/>
          <w:szCs w:val="21"/>
        </w:rPr>
        <w:t>需要补充的其他内容，见</w:t>
      </w:r>
      <w:r>
        <w:rPr>
          <w:sz w:val="21"/>
          <w:szCs w:val="21"/>
          <w:u w:val="single"/>
        </w:rPr>
        <w:t>供应商须知前附表</w:t>
      </w:r>
      <w:r>
        <w:rPr>
          <w:sz w:val="21"/>
          <w:szCs w:val="21"/>
        </w:rPr>
        <w:t>。</w:t>
      </w:r>
    </w:p>
    <w:p>
      <w:pPr>
        <w:widowControl/>
        <w:spacing w:line="360" w:lineRule="auto"/>
        <w:jc w:val="left"/>
        <w:rPr>
          <w:rFonts w:ascii="宋体" w:hAnsi="宋体" w:cs="宋体"/>
          <w:kern w:val="0"/>
          <w:lang w:bidi="zh-CN"/>
        </w:rPr>
      </w:pPr>
      <w:r>
        <w:rPr>
          <w:rFonts w:ascii="宋体" w:hAnsi="宋体"/>
        </w:rPr>
        <w:br w:type="page"/>
      </w:r>
    </w:p>
    <w:p>
      <w:pPr>
        <w:pStyle w:val="6"/>
        <w:keepNext/>
        <w:keepLines/>
        <w:pageBreakBefore w:val="0"/>
        <w:widowControl w:val="0"/>
        <w:kinsoku/>
        <w:wordWrap/>
        <w:overflowPunct/>
        <w:topLinePunct w:val="0"/>
        <w:autoSpaceDE/>
        <w:autoSpaceDN/>
        <w:bidi w:val="0"/>
        <w:adjustRightInd/>
        <w:snapToGrid/>
        <w:spacing w:after="90" w:line="360" w:lineRule="auto"/>
        <w:jc w:val="center"/>
        <w:textAlignment w:val="auto"/>
        <w:rPr>
          <w:rFonts w:hint="eastAsia" w:ascii="Times New Roman" w:hAnsi="Times New Roman"/>
        </w:rPr>
      </w:pPr>
      <w:bookmarkStart w:id="47" w:name="_Toc32497"/>
      <w:r>
        <w:rPr>
          <w:rFonts w:hint="eastAsia" w:ascii="Times New Roman" w:hAnsi="Times New Roman"/>
        </w:rPr>
        <w:t>第三章 采购需求</w:t>
      </w:r>
      <w:bookmarkEnd w:id="47"/>
    </w:p>
    <w:p>
      <w:pPr>
        <w:pStyle w:val="9"/>
        <w:spacing w:before="0" w:after="0" w:line="377" w:lineRule="auto"/>
        <w:rPr>
          <w:rFonts w:ascii="宋体" w:hAnsi="宋体"/>
          <w:sz w:val="21"/>
          <w:szCs w:val="21"/>
        </w:rPr>
      </w:pPr>
      <w:r>
        <w:rPr>
          <w:rFonts w:ascii="宋体" w:hAnsi="宋体"/>
          <w:sz w:val="21"/>
          <w:szCs w:val="21"/>
        </w:rPr>
        <w:t>前注：</w:t>
      </w:r>
    </w:p>
    <w:p>
      <w:pPr>
        <w:pStyle w:val="26"/>
        <w:numPr>
          <w:ilvl w:val="0"/>
          <w:numId w:val="19"/>
        </w:numPr>
        <w:tabs>
          <w:tab w:val="left" w:pos="1300"/>
        </w:tabs>
        <w:autoSpaceDE w:val="0"/>
        <w:autoSpaceDN w:val="0"/>
        <w:spacing w:before="160" w:line="364" w:lineRule="auto"/>
        <w:ind w:right="560" w:firstLine="479" w:firstLineChars="0"/>
        <w:rPr>
          <w:rFonts w:ascii="宋体" w:hAnsi="宋体"/>
          <w:szCs w:val="21"/>
        </w:rPr>
      </w:pPr>
      <w:r>
        <w:rPr>
          <w:rFonts w:ascii="宋体" w:hAnsi="宋体"/>
          <w:szCs w:val="21"/>
        </w:rPr>
        <w:t>根据《关于规范政府采购进口产品有关工作的通知》及政府采购管理部门的相关规定，下列采购需求中标注进口产品的货物均已履行相关论证手续， 经核准采购进口产品，但不限制满足磋商文件要求的国内产品参与竞争。未标注进口产品的货物均为拒绝采购进口产品。</w:t>
      </w:r>
    </w:p>
    <w:p>
      <w:pPr>
        <w:pStyle w:val="26"/>
        <w:numPr>
          <w:ilvl w:val="0"/>
          <w:numId w:val="19"/>
        </w:numPr>
        <w:tabs>
          <w:tab w:val="left" w:pos="1300"/>
        </w:tabs>
        <w:autoSpaceDE w:val="0"/>
        <w:autoSpaceDN w:val="0"/>
        <w:spacing w:line="364" w:lineRule="auto"/>
        <w:ind w:right="575" w:firstLine="479" w:firstLineChars="0"/>
        <w:rPr>
          <w:rFonts w:ascii="宋体" w:hAnsi="宋体"/>
          <w:szCs w:val="21"/>
        </w:rPr>
      </w:pPr>
      <w:r>
        <w:rPr>
          <w:rFonts w:ascii="宋体" w:hAnsi="宋体"/>
          <w:szCs w:val="21"/>
        </w:rPr>
        <w:t>下列采购需求中：如属于《节能产品政府采购品目清单》中政府强制采购的节能产品，则供应商所投产品须具有市场监管总局公布的《参与实施政府采购节能产品认证机构目录》中的认证机构出具的、处于有效期内的节能产品认证证书。</w:t>
      </w:r>
    </w:p>
    <w:p>
      <w:pPr>
        <w:pStyle w:val="26"/>
        <w:numPr>
          <w:ilvl w:val="0"/>
          <w:numId w:val="19"/>
        </w:numPr>
        <w:tabs>
          <w:tab w:val="left" w:pos="1296"/>
        </w:tabs>
        <w:autoSpaceDE w:val="0"/>
        <w:autoSpaceDN w:val="0"/>
        <w:spacing w:line="362" w:lineRule="auto"/>
        <w:ind w:right="568" w:firstLine="479" w:firstLineChars="0"/>
        <w:rPr>
          <w:rFonts w:ascii="宋体" w:hAnsi="宋体"/>
          <w:szCs w:val="21"/>
        </w:rPr>
      </w:pPr>
      <w:r>
        <w:rPr>
          <w:rFonts w:ascii="宋体" w:hAnsi="宋体"/>
          <w:szCs w:val="21"/>
        </w:rPr>
        <w:t>下列采购需求中：标注▲的产品（核心产品），供应商在响应文件《主要成交标的承诺函》中填写名称、品牌、规格、型号、数量、单价等信息。</w:t>
      </w:r>
    </w:p>
    <w:p>
      <w:pPr>
        <w:pStyle w:val="11"/>
        <w:rPr>
          <w:sz w:val="21"/>
          <w:szCs w:val="21"/>
        </w:rPr>
      </w:pPr>
    </w:p>
    <w:p>
      <w:pPr>
        <w:pStyle w:val="9"/>
        <w:spacing w:before="160"/>
        <w:ind w:firstLine="632" w:firstLineChars="300"/>
        <w:rPr>
          <w:rFonts w:ascii="宋体" w:hAnsi="宋体"/>
          <w:sz w:val="21"/>
          <w:szCs w:val="21"/>
        </w:rPr>
      </w:pPr>
      <w:r>
        <w:rPr>
          <w:rFonts w:ascii="宋体" w:hAnsi="宋体"/>
          <w:sz w:val="21"/>
          <w:szCs w:val="21"/>
        </w:rPr>
        <w:t>一、采购需求前附表</w:t>
      </w:r>
    </w:p>
    <w:p>
      <w:pPr>
        <w:pStyle w:val="11"/>
        <w:spacing w:before="6" w:after="1"/>
        <w:rPr>
          <w:b/>
          <w:sz w:val="21"/>
          <w:szCs w:val="21"/>
        </w:rPr>
      </w:pPr>
    </w:p>
    <w:tbl>
      <w:tblPr>
        <w:tblStyle w:val="19"/>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87"/>
        <w:gridCol w:w="2192"/>
        <w:gridCol w:w="59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87" w:type="dxa"/>
            <w:noWrap w:val="0"/>
            <w:vAlign w:val="top"/>
          </w:tcPr>
          <w:p>
            <w:pPr>
              <w:pStyle w:val="25"/>
              <w:spacing w:before="95"/>
              <w:ind w:left="283" w:right="271"/>
              <w:jc w:val="center"/>
              <w:rPr>
                <w:b/>
                <w:sz w:val="21"/>
                <w:szCs w:val="21"/>
                <w:lang w:eastAsia="en-US"/>
              </w:rPr>
            </w:pPr>
            <w:r>
              <w:rPr>
                <w:b/>
                <w:sz w:val="21"/>
                <w:szCs w:val="21"/>
                <w:lang w:eastAsia="en-US"/>
              </w:rPr>
              <w:t>序号</w:t>
            </w:r>
          </w:p>
        </w:tc>
        <w:tc>
          <w:tcPr>
            <w:tcW w:w="2192" w:type="dxa"/>
            <w:noWrap w:val="0"/>
            <w:vAlign w:val="top"/>
          </w:tcPr>
          <w:p>
            <w:pPr>
              <w:pStyle w:val="25"/>
              <w:spacing w:before="19"/>
              <w:ind w:left="234" w:right="228"/>
              <w:jc w:val="center"/>
              <w:rPr>
                <w:b/>
                <w:sz w:val="21"/>
                <w:szCs w:val="21"/>
                <w:lang w:eastAsia="en-US"/>
              </w:rPr>
            </w:pPr>
            <w:r>
              <w:rPr>
                <w:b/>
                <w:sz w:val="21"/>
                <w:szCs w:val="21"/>
                <w:lang w:eastAsia="en-US"/>
              </w:rPr>
              <w:t>条款名称</w:t>
            </w:r>
          </w:p>
        </w:tc>
        <w:tc>
          <w:tcPr>
            <w:tcW w:w="5915" w:type="dxa"/>
            <w:noWrap w:val="0"/>
            <w:vAlign w:val="top"/>
          </w:tcPr>
          <w:p>
            <w:pPr>
              <w:pStyle w:val="25"/>
              <w:spacing w:before="19"/>
              <w:ind w:left="1971" w:right="1966"/>
              <w:jc w:val="center"/>
              <w:rPr>
                <w:b/>
                <w:sz w:val="21"/>
                <w:szCs w:val="21"/>
                <w:lang w:eastAsia="en-US"/>
              </w:rPr>
            </w:pPr>
            <w:r>
              <w:rPr>
                <w:b/>
                <w:sz w:val="21"/>
                <w:szCs w:val="21"/>
                <w:lang w:eastAsia="en-US"/>
              </w:rPr>
              <w:t>内容、说明与要求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87" w:type="dxa"/>
            <w:noWrap w:val="0"/>
            <w:vAlign w:val="center"/>
          </w:tcPr>
          <w:p>
            <w:pPr>
              <w:pStyle w:val="25"/>
              <w:spacing w:before="95"/>
              <w:ind w:left="7"/>
              <w:jc w:val="center"/>
              <w:rPr>
                <w:sz w:val="21"/>
                <w:szCs w:val="21"/>
                <w:lang w:eastAsia="en-US"/>
              </w:rPr>
            </w:pPr>
            <w:r>
              <w:rPr>
                <w:sz w:val="21"/>
                <w:szCs w:val="21"/>
                <w:lang w:eastAsia="en-US"/>
              </w:rPr>
              <w:t>1</w:t>
            </w:r>
          </w:p>
        </w:tc>
        <w:tc>
          <w:tcPr>
            <w:tcW w:w="2192" w:type="dxa"/>
            <w:noWrap w:val="0"/>
            <w:vAlign w:val="center"/>
          </w:tcPr>
          <w:p>
            <w:pPr>
              <w:pStyle w:val="25"/>
              <w:spacing w:before="19"/>
              <w:ind w:left="234" w:right="228"/>
              <w:jc w:val="center"/>
              <w:rPr>
                <w:sz w:val="21"/>
                <w:szCs w:val="21"/>
                <w:lang w:eastAsia="en-US"/>
              </w:rPr>
            </w:pPr>
            <w:r>
              <w:rPr>
                <w:sz w:val="21"/>
                <w:szCs w:val="21"/>
                <w:lang w:eastAsia="en-US"/>
              </w:rPr>
              <w:t>付款方式</w:t>
            </w:r>
          </w:p>
        </w:tc>
        <w:tc>
          <w:tcPr>
            <w:tcW w:w="5915" w:type="dxa"/>
            <w:noWrap w:val="0"/>
            <w:vAlign w:val="center"/>
          </w:tcPr>
          <w:p>
            <w:pPr>
              <w:jc w:val="left"/>
              <w:rPr>
                <w:rFonts w:hint="default" w:eastAsia="宋体"/>
                <w:lang w:val="en-US" w:eastAsia="zh-CN"/>
              </w:rPr>
            </w:pPr>
            <w:r>
              <w:rPr>
                <w:rFonts w:hint="eastAsia"/>
                <w:sz w:val="21"/>
                <w:szCs w:val="21"/>
                <w:lang w:eastAsia="en-US"/>
              </w:rPr>
              <w:t>供货</w:t>
            </w:r>
            <w:r>
              <w:rPr>
                <w:rFonts w:hint="eastAsia"/>
                <w:sz w:val="21"/>
                <w:szCs w:val="21"/>
                <w:lang w:eastAsia="zh-CN"/>
              </w:rPr>
              <w:t>、</w:t>
            </w:r>
            <w:r>
              <w:rPr>
                <w:rFonts w:hint="eastAsia"/>
                <w:sz w:val="21"/>
                <w:szCs w:val="21"/>
                <w:lang w:eastAsia="en-US"/>
              </w:rPr>
              <w:t>安装</w:t>
            </w:r>
            <w:r>
              <w:rPr>
                <w:rFonts w:hint="eastAsia"/>
                <w:sz w:val="21"/>
                <w:szCs w:val="21"/>
                <w:lang w:val="en-US" w:eastAsia="zh-CN"/>
              </w:rPr>
              <w:t>完成，经采购人验收合格后一次性付清。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87" w:type="dxa"/>
            <w:noWrap w:val="0"/>
            <w:vAlign w:val="center"/>
          </w:tcPr>
          <w:p>
            <w:pPr>
              <w:pStyle w:val="25"/>
              <w:spacing w:before="96"/>
              <w:ind w:left="7"/>
              <w:jc w:val="center"/>
              <w:rPr>
                <w:sz w:val="21"/>
                <w:szCs w:val="21"/>
                <w:lang w:eastAsia="en-US"/>
              </w:rPr>
            </w:pPr>
            <w:r>
              <w:rPr>
                <w:sz w:val="21"/>
                <w:szCs w:val="21"/>
                <w:lang w:eastAsia="en-US"/>
              </w:rPr>
              <w:t>2</w:t>
            </w:r>
          </w:p>
        </w:tc>
        <w:tc>
          <w:tcPr>
            <w:tcW w:w="2192" w:type="dxa"/>
            <w:noWrap w:val="0"/>
            <w:vAlign w:val="center"/>
          </w:tcPr>
          <w:p>
            <w:pPr>
              <w:pStyle w:val="25"/>
              <w:spacing w:before="16"/>
              <w:ind w:left="234" w:right="228"/>
              <w:jc w:val="center"/>
              <w:rPr>
                <w:sz w:val="21"/>
                <w:szCs w:val="21"/>
                <w:lang w:eastAsia="en-US"/>
              </w:rPr>
            </w:pPr>
            <w:r>
              <w:rPr>
                <w:sz w:val="21"/>
                <w:szCs w:val="21"/>
                <w:lang w:eastAsia="en-US"/>
              </w:rPr>
              <w:t>供货及安装地点</w:t>
            </w:r>
          </w:p>
        </w:tc>
        <w:tc>
          <w:tcPr>
            <w:tcW w:w="5915" w:type="dxa"/>
            <w:noWrap w:val="0"/>
            <w:vAlign w:val="center"/>
          </w:tcPr>
          <w:p>
            <w:pPr>
              <w:pStyle w:val="25"/>
              <w:spacing w:before="8"/>
              <w:jc w:val="left"/>
              <w:rPr>
                <w:b/>
                <w:sz w:val="21"/>
                <w:szCs w:val="21"/>
                <w:lang w:eastAsia="en-US"/>
              </w:rPr>
            </w:pPr>
            <w:r>
              <w:rPr>
                <w:rFonts w:hint="eastAsia"/>
                <w:lang w:val="en-US" w:eastAsia="zh-CN"/>
              </w:rPr>
              <w:t>采购人指定地点</w:t>
            </w:r>
          </w:p>
          <w:p>
            <w:pPr>
              <w:pStyle w:val="25"/>
              <w:spacing w:line="20" w:lineRule="exact"/>
              <w:jc w:val="left"/>
              <w:rPr>
                <w:rFonts w:hint="eastAsia"/>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87" w:type="dxa"/>
            <w:noWrap w:val="0"/>
            <w:vAlign w:val="center"/>
          </w:tcPr>
          <w:p>
            <w:pPr>
              <w:pStyle w:val="25"/>
              <w:spacing w:before="96"/>
              <w:ind w:left="7"/>
              <w:jc w:val="center"/>
              <w:rPr>
                <w:sz w:val="21"/>
                <w:szCs w:val="21"/>
                <w:lang w:eastAsia="en-US"/>
              </w:rPr>
            </w:pPr>
            <w:r>
              <w:rPr>
                <w:sz w:val="21"/>
                <w:szCs w:val="21"/>
                <w:lang w:eastAsia="en-US"/>
              </w:rPr>
              <w:t>3</w:t>
            </w:r>
          </w:p>
        </w:tc>
        <w:tc>
          <w:tcPr>
            <w:tcW w:w="2192" w:type="dxa"/>
            <w:noWrap w:val="0"/>
            <w:vAlign w:val="center"/>
          </w:tcPr>
          <w:p>
            <w:pPr>
              <w:pStyle w:val="25"/>
              <w:spacing w:before="19"/>
              <w:ind w:left="234" w:right="228"/>
              <w:jc w:val="center"/>
              <w:rPr>
                <w:sz w:val="21"/>
                <w:szCs w:val="21"/>
                <w:lang w:eastAsia="en-US"/>
              </w:rPr>
            </w:pPr>
            <w:r>
              <w:rPr>
                <w:sz w:val="21"/>
                <w:szCs w:val="21"/>
                <w:lang w:eastAsia="en-US"/>
              </w:rPr>
              <w:t>供货及安装期限</w:t>
            </w:r>
          </w:p>
        </w:tc>
        <w:tc>
          <w:tcPr>
            <w:tcW w:w="5915" w:type="dxa"/>
            <w:noWrap w:val="0"/>
            <w:vAlign w:val="center"/>
          </w:tcPr>
          <w:p>
            <w:pPr>
              <w:pStyle w:val="25"/>
              <w:tabs>
                <w:tab w:val="left" w:pos="3043"/>
              </w:tabs>
              <w:spacing w:before="19"/>
              <w:jc w:val="left"/>
              <w:rPr>
                <w:sz w:val="21"/>
                <w:szCs w:val="21"/>
                <w:lang w:eastAsia="en-US"/>
              </w:rPr>
            </w:pPr>
            <w:r>
              <w:rPr>
                <w:sz w:val="21"/>
                <w:szCs w:val="21"/>
                <w:lang w:eastAsia="en-US"/>
              </w:rPr>
              <w:t>合同生效后</w:t>
            </w:r>
            <w:r>
              <w:rPr>
                <w:rFonts w:hint="eastAsia"/>
                <w:sz w:val="21"/>
                <w:szCs w:val="21"/>
                <w:lang w:eastAsia="en-US"/>
              </w:rPr>
              <w:t>15日内完成供货及安装调试。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87" w:type="dxa"/>
            <w:noWrap w:val="0"/>
            <w:vAlign w:val="center"/>
          </w:tcPr>
          <w:p>
            <w:pPr>
              <w:pStyle w:val="25"/>
              <w:spacing w:before="96"/>
              <w:ind w:left="7"/>
              <w:jc w:val="center"/>
              <w:rPr>
                <w:sz w:val="21"/>
                <w:szCs w:val="21"/>
                <w:lang w:eastAsia="en-US"/>
              </w:rPr>
            </w:pPr>
            <w:r>
              <w:rPr>
                <w:sz w:val="21"/>
                <w:szCs w:val="21"/>
                <w:lang w:eastAsia="en-US"/>
              </w:rPr>
              <w:t>4</w:t>
            </w:r>
          </w:p>
        </w:tc>
        <w:tc>
          <w:tcPr>
            <w:tcW w:w="2192" w:type="dxa"/>
            <w:noWrap w:val="0"/>
            <w:vAlign w:val="center"/>
          </w:tcPr>
          <w:p>
            <w:pPr>
              <w:pStyle w:val="25"/>
              <w:spacing w:before="19"/>
              <w:ind w:left="234" w:right="228"/>
              <w:jc w:val="center"/>
              <w:rPr>
                <w:sz w:val="21"/>
                <w:szCs w:val="21"/>
                <w:lang w:eastAsia="en-US"/>
              </w:rPr>
            </w:pPr>
            <w:r>
              <w:rPr>
                <w:sz w:val="21"/>
                <w:szCs w:val="21"/>
                <w:lang w:eastAsia="en-US"/>
              </w:rPr>
              <w:t>免费质保期</w:t>
            </w:r>
          </w:p>
        </w:tc>
        <w:tc>
          <w:tcPr>
            <w:tcW w:w="5915" w:type="dxa"/>
            <w:noWrap w:val="0"/>
            <w:vAlign w:val="center"/>
          </w:tcPr>
          <w:p>
            <w:pPr>
              <w:pStyle w:val="25"/>
              <w:tabs>
                <w:tab w:val="left" w:pos="3523"/>
              </w:tabs>
              <w:spacing w:before="19"/>
              <w:jc w:val="left"/>
              <w:rPr>
                <w:rFonts w:hint="default" w:eastAsia="宋体"/>
                <w:sz w:val="21"/>
                <w:szCs w:val="21"/>
                <w:lang w:val="en-US" w:eastAsia="zh-CN"/>
              </w:rPr>
            </w:pPr>
            <w:r>
              <w:rPr>
                <w:sz w:val="21"/>
                <w:szCs w:val="21"/>
                <w:lang w:eastAsia="en-US"/>
              </w:rPr>
              <w:t>验收合格之日起</w:t>
            </w:r>
            <w:r>
              <w:rPr>
                <w:rFonts w:hint="eastAsia"/>
                <w:sz w:val="21"/>
                <w:szCs w:val="21"/>
                <w:u w:val="single"/>
                <w:lang w:val="en-US" w:eastAsia="zh-CN"/>
              </w:rPr>
              <w:t>2年。</w:t>
            </w:r>
          </w:p>
        </w:tc>
      </w:tr>
    </w:tbl>
    <w:p/>
    <w:p>
      <w:pPr>
        <w:pStyle w:val="9"/>
        <w:numPr>
          <w:ilvl w:val="0"/>
          <w:numId w:val="20"/>
        </w:numPr>
        <w:ind w:firstLine="632" w:firstLineChars="300"/>
        <w:rPr>
          <w:rFonts w:ascii="宋体" w:hAnsi="宋体"/>
          <w:sz w:val="21"/>
          <w:szCs w:val="21"/>
        </w:rPr>
      </w:pPr>
      <w:r>
        <w:rPr>
          <w:rFonts w:ascii="宋体" w:hAnsi="宋体"/>
          <w:sz w:val="21"/>
          <w:szCs w:val="21"/>
        </w:rPr>
        <w:t>货物需求</w:t>
      </w:r>
    </w:p>
    <w:tbl>
      <w:tblPr>
        <w:tblStyle w:val="19"/>
        <w:tblW w:w="496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57"/>
        <w:gridCol w:w="1023"/>
        <w:gridCol w:w="972"/>
        <w:gridCol w:w="5604"/>
        <w:gridCol w:w="749"/>
        <w:gridCol w:w="6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290" w:type="pct"/>
            <w:tcBorders>
              <w:top w:val="single" w:color="0D0D0D" w:sz="4" w:space="0"/>
              <w:left w:val="single" w:color="0D0D0D" w:sz="4" w:space="0"/>
              <w:bottom w:val="nil"/>
              <w:right w:val="single" w:color="0D0D0D" w:sz="4" w:space="0"/>
            </w:tcBorders>
            <w:shd w:val="clear" w:color="auto" w:fill="BFBFBF"/>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534" w:type="pct"/>
            <w:tcBorders>
              <w:top w:val="single" w:color="0D0D0D" w:sz="4" w:space="0"/>
              <w:left w:val="single" w:color="0D0D0D" w:sz="4" w:space="0"/>
              <w:bottom w:val="nil"/>
              <w:right w:val="single" w:color="0D0D0D" w:sz="4" w:space="0"/>
            </w:tcBorders>
            <w:shd w:val="clear" w:color="auto" w:fill="BFBFBF"/>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系统</w:t>
            </w:r>
          </w:p>
        </w:tc>
        <w:tc>
          <w:tcPr>
            <w:tcW w:w="508" w:type="pct"/>
            <w:tcBorders>
              <w:top w:val="single" w:color="0D0D0D" w:sz="4" w:space="0"/>
              <w:left w:val="single" w:color="0D0D0D" w:sz="4" w:space="0"/>
              <w:bottom w:val="nil"/>
              <w:right w:val="single" w:color="0D0D0D" w:sz="4" w:space="0"/>
            </w:tcBorders>
            <w:shd w:val="clear" w:color="auto" w:fill="BFBFBF"/>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商品名称 </w:t>
            </w:r>
          </w:p>
        </w:tc>
        <w:tc>
          <w:tcPr>
            <w:tcW w:w="2927" w:type="pct"/>
            <w:tcBorders>
              <w:top w:val="single" w:color="0D0D0D" w:sz="4" w:space="0"/>
              <w:left w:val="single" w:color="0D0D0D" w:sz="4" w:space="0"/>
              <w:bottom w:val="nil"/>
              <w:right w:val="single" w:color="0D0D0D" w:sz="4" w:space="0"/>
            </w:tcBorders>
            <w:shd w:val="clear" w:color="auto" w:fill="BFBFBF"/>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 参数</w:t>
            </w:r>
          </w:p>
        </w:tc>
        <w:tc>
          <w:tcPr>
            <w:tcW w:w="391" w:type="pct"/>
            <w:tcBorders>
              <w:top w:val="single" w:color="0D0D0D" w:sz="4" w:space="0"/>
              <w:left w:val="single" w:color="0D0D0D" w:sz="4" w:space="0"/>
              <w:bottom w:val="nil"/>
              <w:right w:val="single" w:color="0D0D0D" w:sz="4" w:space="0"/>
            </w:tcBorders>
            <w:shd w:val="clear" w:color="auto" w:fill="BFBFBF"/>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347" w:type="pct"/>
            <w:tcBorders>
              <w:top w:val="single" w:color="0D0D0D" w:sz="4" w:space="0"/>
              <w:left w:val="single" w:color="0D0D0D" w:sz="4" w:space="0"/>
              <w:bottom w:val="nil"/>
              <w:right w:val="single" w:color="0D0D0D" w:sz="4" w:space="0"/>
            </w:tcBorders>
            <w:shd w:val="clear" w:color="auto" w:fill="BFBFBF"/>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w:t>
            </w:r>
          </w:p>
        </w:tc>
        <w:tc>
          <w:tcPr>
            <w:tcW w:w="53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会议室  扩声系统</w:t>
            </w: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专业会议音箱</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1.低音：≥1x8″低音单元  ≥50芯音圈，≥140磁；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2.高音：≥1x34mm高音单元  ≥34芯音圈；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3.频响范围：≥75Hz-20KHz；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4.灵敏度：≥96dB；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5.额定功率：≥200W；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6.峰值功率：≥400W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7.最大声压级：≥122dB；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8.阻抗：≤8（Ω）；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9.分频点：≥1.9KHz；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10.覆盖角：≥80°×50°（H×V）。</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3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专业功放</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1.Class D拓扑架构并集成开关电源设计，体积小，重量轻，1U机架空间；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2.拥有高效率功率转换电路、功率输出强劲，电源消耗低，绿色环保；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3.前面板精准增益（音量）控制，有电源、信号、消波和保护的工作信号灯；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4.每通道独特全自动保护电路设计，保护功能有直流、过热、过载以及限幅，有效的保证设备安全长期使用；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5.采用平衡XLR输入接口和专业SPEAKON输出接口；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6.后排拔动开关用于选择立体声或桥接、并接工作模式；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7.多环路调控技术，模块化设计。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8.低底噪，搭配液压轴承风扇优秀风噪控制，满足近场使用场景需求；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9.功率：≥2X300W；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10.功率：≥2X450W；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11.桥接功率：≥1X900W；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12.THD总谐波失真：≤0.02%；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13.输入灵敏度：≥0.775V26dB。</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调音台</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1.≥8路平衡式话筒输入，≥2组母线输出，≥1组AUX辅助输出，MP3播放器功能；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2.话筒提供优质的+48V幻像电源；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3.低噪音的前置放大，具有强大的抗干扰能力；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4.配备高档调音台才具有的信号输入点（外接信号处理器）；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5.三段英国风格均衡；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6.电路板采用双面SMT贴片技术，使性能稳定可靠；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7.≥1组AUX辅助输出AUX1为推子前；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8.采用≥16种数字显示延时数码效果器，使声音特别动听；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9.内置净化宽电压开关电源，电压范围：AC90 - 250V。</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一拖四无线会议麦克风</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1.UHF频段传输信号，频率范围：500MHz-900MHz；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2.四通道接收信号,每通道有100个信道可选，每个信道以250KHz步进；每通道用24.75MHz；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3.采用稳定的PLL数位锁相环合成技术和智能数字线路，整机性能稳定性显著提高；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4.各通道配备独有的ID号，增强抗干扰功能，支持20台同时使用（即20台接收机和80个发射器）；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5.内置高效抑制噪声线路，防啸叫功能显著；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6.接收机背面设置2条橡胶接收天线，增强接收的信号，外观大方得体；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7.背面设有2个平衡输出和1个混合非平衡输出，适合连接各种外置设备；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8.不再局限于一发射只能配对单一通道，实现同一发射可在两个通道400个信道中互通互用，尽显人性化的高新技术设计；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9.采用智能截频FILTER多重净化技术；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10.超静音轻触开关，轻按0.5S开启进入工作状态；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10.灵活的鹅颈式咪杆设计，可360°全方位调节，咪杆灯环指示发言状态；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11.系统包括有一台主机+四个长杆鹅颈话筒；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12.使用1.5V电池（3粒）供电，可连续使用12小时；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13.主机和发射器均具备LCD屏显示工作状态等内容；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14.使用距离: 空旷环境：80-100米，复杂环境：50-80米。</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2"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反馈抑制器</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1.采用自适应环境啸叫抑制算法，采用高速浮点数字音频处理器和先进的子带（Sub-Band)回声消除(Echo Cancellation)技术，可高速全自动完全消除啸叫和回声，同时让现场音频精准清晰实时送出；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内置自适应动态噪声滤波器，可滤掉现场环境的背景噪声但不影响语音信号高质量的传送。系统智能电平控制技术，可以获的到清晰、持续的、信号电平无明显波动的语音信号。内置AGC双向控制，具有区分加强信号和轻柔信号的能力，保持对讲话声调的连贯和语音易于听清楚，维持听感上的舒适性，能提升增益达6-15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★3.内置24Bit  A/D、D/A转换；24位DSP处理器，48KHz采样高速浮点运算数字音频处理器和最先进的子带（Sub-Band) 回声消除（Echo cancellation)技术，可有效消除回声和啸叫（需提供检验内容满足此功能参数且获得CMA/CNAS认可的权威检测机构出具的检验报告复印件加盖制造商公章）；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4.全自动化操作的工作方式，免人工调试，无论房间环境中位置、温度、湿度、装饰的改变，系统安装都无需进行声场调试，精准可靠使用简单；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内置自适应动态噪声滤波器，可滤掉现场环境的背景噪声但不影响语音信号高质量的传送。提高信噪比，改善音质，内置AGC自动增益控制，可以获得到清晰、持续平稳的语音信号，内置数字高低通调节控制，可限制语音频响，内置数字压限器:可提高拾音的距离，内置10段图示均衡器：频率控制更精确（需提供检验内容满足此功能参数且获得CMA/CNAS认可的权威检测机构出具的检验报告复印件加盖制造商公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★6.需获得语音声纹嵌入式运算软件和自动噪声检测及数字ID码静噪嵌入式软件著作权，提供软件著作权复印件加盖制造商公章。</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9"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电源时序器</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★1.≥2寸彩色液晶智能显示屏，可实时显示当前电压，日期时间，通道开关状态（需提供检验内容满足此功能参数且获得CMA/CNAS认可的权威检测机构出具的检验报告复印件加盖制造商公章）；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2.每通道独立设有Bypass设置，可ALL Bypass或单独Bypass；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3.支持面板LOCK锁定功能，防止误操作；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★4.内置时钟芯片，可根据日期时间定时设置自动开关机，智能化不须人为操作（需提供检验内容满足此功能参数且获得CMA/CNAS认可的权威检测机构出具的检验报告复印件加盖制造商公章）；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5.支持多台设备级联顺序控制，级联自动检测设置；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6.每台设备自带设备编码ID检测和设置，可实现远程集中控制；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7.≥10组设备开关场景数据保存/调用，场景管理应用简单便捷；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★8.欠压、超压检测及报警，带滤波功能动开关机，智能化不须人为操作（需提供检验内容满足此功能参数且获得CMA/CNAS认可的权威检测机构出具的检验报告复印件加盖制造商公章）；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9.单路额定输出电流：13A，额定总输出电流：30A；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★10.RFI/EMI独立电源滤波器配合智能截频FILTER多重净化技术，可滤除外部杂波信号及设备间干扰信号为每路设备提供干净而稳定的电源（需提供智能截频FILTER多重净化技术软件著作权复印件加盖制造商公章）；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11.配置RS232接口，RJ45接口，支持多种接口协议：TCP、UDP、RS485、RS232；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12.具备USB标准5V供电接口，支持USB工作灯供电及充电；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13.支持继电器开关状态检测与查询；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14.可编程定义各种逻辑开关动作，如互锁、时序开关、同步动作；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★15.符合30MHz～300MHz骚扰功率范围（需提供检验内容满足此功能参数且获得CMA/CNAS认可的权威检测机构出具的检验报告复印件加盖制造商公章）；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★16.符合1GHz～6GHz 3m距离辐射骚扰范围（需提供检验内容满足此功能参数且获得CMA/CNAS认可的权威检测机构出具的检验报告复印件加盖制造商公章）。</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7</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机柜</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76" name="Text_Box_1780"/>
                  <wp:cNvGraphicFramePr/>
                  <a:graphic xmlns:a="http://schemas.openxmlformats.org/drawingml/2006/main">
                    <a:graphicData uri="http://schemas.openxmlformats.org/drawingml/2006/picture">
                      <pic:pic xmlns:pic="http://schemas.openxmlformats.org/drawingml/2006/picture">
                        <pic:nvPicPr>
                          <pic:cNvPr id="176" name="Text_Box_178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75" name="Text_Box_1780_SpCnt_1"/>
                  <wp:cNvGraphicFramePr/>
                  <a:graphic xmlns:a="http://schemas.openxmlformats.org/drawingml/2006/main">
                    <a:graphicData uri="http://schemas.openxmlformats.org/drawingml/2006/picture">
                      <pic:pic xmlns:pic="http://schemas.openxmlformats.org/drawingml/2006/picture">
                        <pic:nvPicPr>
                          <pic:cNvPr id="175" name="Text_Box_1780_SpCnt_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33" name="Text_Box_1780_SpCnt_2"/>
                  <wp:cNvGraphicFramePr/>
                  <a:graphic xmlns:a="http://schemas.openxmlformats.org/drawingml/2006/main">
                    <a:graphicData uri="http://schemas.openxmlformats.org/drawingml/2006/picture">
                      <pic:pic xmlns:pic="http://schemas.openxmlformats.org/drawingml/2006/picture">
                        <pic:nvPicPr>
                          <pic:cNvPr id="133" name="Text_Box_1780_SpCnt_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32" name="Text_Box_1780_SpCnt_3"/>
                  <wp:cNvGraphicFramePr/>
                  <a:graphic xmlns:a="http://schemas.openxmlformats.org/drawingml/2006/main">
                    <a:graphicData uri="http://schemas.openxmlformats.org/drawingml/2006/picture">
                      <pic:pic xmlns:pic="http://schemas.openxmlformats.org/drawingml/2006/picture">
                        <pic:nvPicPr>
                          <pic:cNvPr id="132" name="Text_Box_1780_SpCnt_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27" name="Text_Box_1780_SpCnt_4"/>
                  <wp:cNvGraphicFramePr/>
                  <a:graphic xmlns:a="http://schemas.openxmlformats.org/drawingml/2006/main">
                    <a:graphicData uri="http://schemas.openxmlformats.org/drawingml/2006/picture">
                      <pic:pic xmlns:pic="http://schemas.openxmlformats.org/drawingml/2006/picture">
                        <pic:nvPicPr>
                          <pic:cNvPr id="127" name="Text_Box_1780_SpCnt_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26" name="Text_Box_1780_SpCnt_5"/>
                  <wp:cNvGraphicFramePr/>
                  <a:graphic xmlns:a="http://schemas.openxmlformats.org/drawingml/2006/main">
                    <a:graphicData uri="http://schemas.openxmlformats.org/drawingml/2006/picture">
                      <pic:pic xmlns:pic="http://schemas.openxmlformats.org/drawingml/2006/picture">
                        <pic:nvPicPr>
                          <pic:cNvPr id="126" name="Text_Box_1780_SpCnt_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37" name="Text_Box_1780_SpCnt_6"/>
                  <wp:cNvGraphicFramePr/>
                  <a:graphic xmlns:a="http://schemas.openxmlformats.org/drawingml/2006/main">
                    <a:graphicData uri="http://schemas.openxmlformats.org/drawingml/2006/picture">
                      <pic:pic xmlns:pic="http://schemas.openxmlformats.org/drawingml/2006/picture">
                        <pic:nvPicPr>
                          <pic:cNvPr id="137" name="Text_Box_1780_SpCnt_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28" name="Text_Box_1780_SpCnt_7"/>
                  <wp:cNvGraphicFramePr/>
                  <a:graphic xmlns:a="http://schemas.openxmlformats.org/drawingml/2006/main">
                    <a:graphicData uri="http://schemas.openxmlformats.org/drawingml/2006/picture">
                      <pic:pic xmlns:pic="http://schemas.openxmlformats.org/drawingml/2006/picture">
                        <pic:nvPicPr>
                          <pic:cNvPr id="128" name="Text_Box_1780_SpCnt_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17" name="Text_Box_1780_SpCnt_8"/>
                  <wp:cNvGraphicFramePr/>
                  <a:graphic xmlns:a="http://schemas.openxmlformats.org/drawingml/2006/main">
                    <a:graphicData uri="http://schemas.openxmlformats.org/drawingml/2006/picture">
                      <pic:pic xmlns:pic="http://schemas.openxmlformats.org/drawingml/2006/picture">
                        <pic:nvPicPr>
                          <pic:cNvPr id="117" name="Text_Box_1780_SpCnt_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34" name="Text_Box_1780_SpCnt_9"/>
                  <wp:cNvGraphicFramePr/>
                  <a:graphic xmlns:a="http://schemas.openxmlformats.org/drawingml/2006/main">
                    <a:graphicData uri="http://schemas.openxmlformats.org/drawingml/2006/picture">
                      <pic:pic xmlns:pic="http://schemas.openxmlformats.org/drawingml/2006/picture">
                        <pic:nvPicPr>
                          <pic:cNvPr id="134" name="Text_Box_1780_SpCnt_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18" name="Text_Box_1780_SpCnt_10"/>
                  <wp:cNvGraphicFramePr/>
                  <a:graphic xmlns:a="http://schemas.openxmlformats.org/drawingml/2006/main">
                    <a:graphicData uri="http://schemas.openxmlformats.org/drawingml/2006/picture">
                      <pic:pic xmlns:pic="http://schemas.openxmlformats.org/drawingml/2006/picture">
                        <pic:nvPicPr>
                          <pic:cNvPr id="118" name="Text_Box_1780_SpCnt_1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10" name="Text_Box_1780_SpCnt_11"/>
                  <wp:cNvGraphicFramePr/>
                  <a:graphic xmlns:a="http://schemas.openxmlformats.org/drawingml/2006/main">
                    <a:graphicData uri="http://schemas.openxmlformats.org/drawingml/2006/picture">
                      <pic:pic xmlns:pic="http://schemas.openxmlformats.org/drawingml/2006/picture">
                        <pic:nvPicPr>
                          <pic:cNvPr id="110" name="Text_Box_1780_SpCnt_1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35" name="Text_Box_1780_SpCnt_12"/>
                  <wp:cNvGraphicFramePr/>
                  <a:graphic xmlns:a="http://schemas.openxmlformats.org/drawingml/2006/main">
                    <a:graphicData uri="http://schemas.openxmlformats.org/drawingml/2006/picture">
                      <pic:pic xmlns:pic="http://schemas.openxmlformats.org/drawingml/2006/picture">
                        <pic:nvPicPr>
                          <pic:cNvPr id="135" name="Text_Box_1780_SpCnt_1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31" name="Text_Box_1780_SpCnt_13"/>
                  <wp:cNvGraphicFramePr/>
                  <a:graphic xmlns:a="http://schemas.openxmlformats.org/drawingml/2006/main">
                    <a:graphicData uri="http://schemas.openxmlformats.org/drawingml/2006/picture">
                      <pic:pic xmlns:pic="http://schemas.openxmlformats.org/drawingml/2006/picture">
                        <pic:nvPicPr>
                          <pic:cNvPr id="131" name="Text_Box_1780_SpCnt_1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36" name="Text_Box_1780_SpCnt_14"/>
                  <wp:cNvGraphicFramePr/>
                  <a:graphic xmlns:a="http://schemas.openxmlformats.org/drawingml/2006/main">
                    <a:graphicData uri="http://schemas.openxmlformats.org/drawingml/2006/picture">
                      <pic:pic xmlns:pic="http://schemas.openxmlformats.org/drawingml/2006/picture">
                        <pic:nvPicPr>
                          <pic:cNvPr id="136" name="Text_Box_1780_SpCnt_1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23" name="Text_Box_1780_SpCnt_15"/>
                  <wp:cNvGraphicFramePr/>
                  <a:graphic xmlns:a="http://schemas.openxmlformats.org/drawingml/2006/main">
                    <a:graphicData uri="http://schemas.openxmlformats.org/drawingml/2006/picture">
                      <pic:pic xmlns:pic="http://schemas.openxmlformats.org/drawingml/2006/picture">
                        <pic:nvPicPr>
                          <pic:cNvPr id="123" name="Text_Box_1780_SpCnt_1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38" name="Text_Box_1780_SpCnt_16"/>
                  <wp:cNvGraphicFramePr/>
                  <a:graphic xmlns:a="http://schemas.openxmlformats.org/drawingml/2006/main">
                    <a:graphicData uri="http://schemas.openxmlformats.org/drawingml/2006/picture">
                      <pic:pic xmlns:pic="http://schemas.openxmlformats.org/drawingml/2006/picture">
                        <pic:nvPicPr>
                          <pic:cNvPr id="138" name="Text_Box_1780_SpCnt_1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12" name="Text_Box_1780_SpCnt_17"/>
                  <wp:cNvGraphicFramePr/>
                  <a:graphic xmlns:a="http://schemas.openxmlformats.org/drawingml/2006/main">
                    <a:graphicData uri="http://schemas.openxmlformats.org/drawingml/2006/picture">
                      <pic:pic xmlns:pic="http://schemas.openxmlformats.org/drawingml/2006/picture">
                        <pic:nvPicPr>
                          <pic:cNvPr id="112" name="Text_Box_1780_SpCnt_1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19" name="Text_Box_1780_SpCnt_18"/>
                  <wp:cNvGraphicFramePr/>
                  <a:graphic xmlns:a="http://schemas.openxmlformats.org/drawingml/2006/main">
                    <a:graphicData uri="http://schemas.openxmlformats.org/drawingml/2006/picture">
                      <pic:pic xmlns:pic="http://schemas.openxmlformats.org/drawingml/2006/picture">
                        <pic:nvPicPr>
                          <pic:cNvPr id="119" name="Text_Box_1780_SpCnt_1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39" name="Text_Box_1780_SpCnt_19"/>
                  <wp:cNvGraphicFramePr/>
                  <a:graphic xmlns:a="http://schemas.openxmlformats.org/drawingml/2006/main">
                    <a:graphicData uri="http://schemas.openxmlformats.org/drawingml/2006/picture">
                      <pic:pic xmlns:pic="http://schemas.openxmlformats.org/drawingml/2006/picture">
                        <pic:nvPicPr>
                          <pic:cNvPr id="139" name="Text_Box_1780_SpCnt_1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22" name="Text_Box_1780_SpCnt_20"/>
                  <wp:cNvGraphicFramePr/>
                  <a:graphic xmlns:a="http://schemas.openxmlformats.org/drawingml/2006/main">
                    <a:graphicData uri="http://schemas.openxmlformats.org/drawingml/2006/picture">
                      <pic:pic xmlns:pic="http://schemas.openxmlformats.org/drawingml/2006/picture">
                        <pic:nvPicPr>
                          <pic:cNvPr id="122" name="Text_Box_1780_SpCnt_2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11" name="Text_Box_1780_SpCnt_21"/>
                  <wp:cNvGraphicFramePr/>
                  <a:graphic xmlns:a="http://schemas.openxmlformats.org/drawingml/2006/main">
                    <a:graphicData uri="http://schemas.openxmlformats.org/drawingml/2006/picture">
                      <pic:pic xmlns:pic="http://schemas.openxmlformats.org/drawingml/2006/picture">
                        <pic:nvPicPr>
                          <pic:cNvPr id="111" name="Text_Box_1780_SpCnt_2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20" name="Text_Box_1780_SpCnt_22"/>
                  <wp:cNvGraphicFramePr/>
                  <a:graphic xmlns:a="http://schemas.openxmlformats.org/drawingml/2006/main">
                    <a:graphicData uri="http://schemas.openxmlformats.org/drawingml/2006/picture">
                      <pic:pic xmlns:pic="http://schemas.openxmlformats.org/drawingml/2006/picture">
                        <pic:nvPicPr>
                          <pic:cNvPr id="120" name="Text_Box_1780_SpCnt_2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40" name="Text_Box_1780_SpCnt_23"/>
                  <wp:cNvGraphicFramePr/>
                  <a:graphic xmlns:a="http://schemas.openxmlformats.org/drawingml/2006/main">
                    <a:graphicData uri="http://schemas.openxmlformats.org/drawingml/2006/picture">
                      <pic:pic xmlns:pic="http://schemas.openxmlformats.org/drawingml/2006/picture">
                        <pic:nvPicPr>
                          <pic:cNvPr id="140" name="Text_Box_1780_SpCnt_2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21" name="Text_Box_1780_SpCnt_24"/>
                  <wp:cNvGraphicFramePr/>
                  <a:graphic xmlns:a="http://schemas.openxmlformats.org/drawingml/2006/main">
                    <a:graphicData uri="http://schemas.openxmlformats.org/drawingml/2006/picture">
                      <pic:pic xmlns:pic="http://schemas.openxmlformats.org/drawingml/2006/picture">
                        <pic:nvPicPr>
                          <pic:cNvPr id="121" name="Text_Box_1780_SpCnt_2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15" name="Text_Box_1780_SpCnt_25"/>
                  <wp:cNvGraphicFramePr/>
                  <a:graphic xmlns:a="http://schemas.openxmlformats.org/drawingml/2006/main">
                    <a:graphicData uri="http://schemas.openxmlformats.org/drawingml/2006/picture">
                      <pic:pic xmlns:pic="http://schemas.openxmlformats.org/drawingml/2006/picture">
                        <pic:nvPicPr>
                          <pic:cNvPr id="115" name="Text_Box_1780_SpCnt_2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13" name="Text_Box_1780_SpCnt_26"/>
                  <wp:cNvGraphicFramePr/>
                  <a:graphic xmlns:a="http://schemas.openxmlformats.org/drawingml/2006/main">
                    <a:graphicData uri="http://schemas.openxmlformats.org/drawingml/2006/picture">
                      <pic:pic xmlns:pic="http://schemas.openxmlformats.org/drawingml/2006/picture">
                        <pic:nvPicPr>
                          <pic:cNvPr id="113" name="Text_Box_1780_SpCnt_2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16" name="Text_Box_1780_SpCnt_27"/>
                  <wp:cNvGraphicFramePr/>
                  <a:graphic xmlns:a="http://schemas.openxmlformats.org/drawingml/2006/main">
                    <a:graphicData uri="http://schemas.openxmlformats.org/drawingml/2006/picture">
                      <pic:pic xmlns:pic="http://schemas.openxmlformats.org/drawingml/2006/picture">
                        <pic:nvPicPr>
                          <pic:cNvPr id="116" name="Text_Box_1780_SpCnt_2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24" name="Text_Box_1780_SpCnt_28"/>
                  <wp:cNvGraphicFramePr/>
                  <a:graphic xmlns:a="http://schemas.openxmlformats.org/drawingml/2006/main">
                    <a:graphicData uri="http://schemas.openxmlformats.org/drawingml/2006/picture">
                      <pic:pic xmlns:pic="http://schemas.openxmlformats.org/drawingml/2006/picture">
                        <pic:nvPicPr>
                          <pic:cNvPr id="124" name="Text_Box_1780_SpCnt_2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14" name="Text_Box_1780_SpCnt_29"/>
                  <wp:cNvGraphicFramePr/>
                  <a:graphic xmlns:a="http://schemas.openxmlformats.org/drawingml/2006/main">
                    <a:graphicData uri="http://schemas.openxmlformats.org/drawingml/2006/picture">
                      <pic:pic xmlns:pic="http://schemas.openxmlformats.org/drawingml/2006/picture">
                        <pic:nvPicPr>
                          <pic:cNvPr id="114" name="Text_Box_1780_SpCnt_2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25" name="Text_Box_1780_SpCnt_30"/>
                  <wp:cNvGraphicFramePr/>
                  <a:graphic xmlns:a="http://schemas.openxmlformats.org/drawingml/2006/main">
                    <a:graphicData uri="http://schemas.openxmlformats.org/drawingml/2006/picture">
                      <pic:pic xmlns:pic="http://schemas.openxmlformats.org/drawingml/2006/picture">
                        <pic:nvPicPr>
                          <pic:cNvPr id="125" name="Text_Box_1780_SpCnt_3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29" name="Text_Box_1780_SpCnt_31"/>
                  <wp:cNvGraphicFramePr/>
                  <a:graphic xmlns:a="http://schemas.openxmlformats.org/drawingml/2006/main">
                    <a:graphicData uri="http://schemas.openxmlformats.org/drawingml/2006/picture">
                      <pic:pic xmlns:pic="http://schemas.openxmlformats.org/drawingml/2006/picture">
                        <pic:nvPicPr>
                          <pic:cNvPr id="129" name="Text_Box_1780_SpCnt_3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30" name="Text_Box_1780_SpCnt_32"/>
                  <wp:cNvGraphicFramePr/>
                  <a:graphic xmlns:a="http://schemas.openxmlformats.org/drawingml/2006/main">
                    <a:graphicData uri="http://schemas.openxmlformats.org/drawingml/2006/picture">
                      <pic:pic xmlns:pic="http://schemas.openxmlformats.org/drawingml/2006/picture">
                        <pic:nvPicPr>
                          <pic:cNvPr id="130" name="Text_Box_1780_SpCnt_3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53" name="Text_Box_1780_SpCnt_33"/>
                  <wp:cNvGraphicFramePr/>
                  <a:graphic xmlns:a="http://schemas.openxmlformats.org/drawingml/2006/main">
                    <a:graphicData uri="http://schemas.openxmlformats.org/drawingml/2006/picture">
                      <pic:pic xmlns:pic="http://schemas.openxmlformats.org/drawingml/2006/picture">
                        <pic:nvPicPr>
                          <pic:cNvPr id="153" name="Text_Box_1780_SpCnt_3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54" name="Text_Box_1780_SpCnt_34"/>
                  <wp:cNvGraphicFramePr/>
                  <a:graphic xmlns:a="http://schemas.openxmlformats.org/drawingml/2006/main">
                    <a:graphicData uri="http://schemas.openxmlformats.org/drawingml/2006/picture">
                      <pic:pic xmlns:pic="http://schemas.openxmlformats.org/drawingml/2006/picture">
                        <pic:nvPicPr>
                          <pic:cNvPr id="154" name="Text_Box_1780_SpCnt_3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55" name="Text_Box_1780_SpCnt_35"/>
                  <wp:cNvGraphicFramePr/>
                  <a:graphic xmlns:a="http://schemas.openxmlformats.org/drawingml/2006/main">
                    <a:graphicData uri="http://schemas.openxmlformats.org/drawingml/2006/picture">
                      <pic:pic xmlns:pic="http://schemas.openxmlformats.org/drawingml/2006/picture">
                        <pic:nvPicPr>
                          <pic:cNvPr id="155" name="Text_Box_1780_SpCnt_3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56" name="Text_Box_1780_SpCnt_36"/>
                  <wp:cNvGraphicFramePr/>
                  <a:graphic xmlns:a="http://schemas.openxmlformats.org/drawingml/2006/main">
                    <a:graphicData uri="http://schemas.openxmlformats.org/drawingml/2006/picture">
                      <pic:pic xmlns:pic="http://schemas.openxmlformats.org/drawingml/2006/picture">
                        <pic:nvPicPr>
                          <pic:cNvPr id="156" name="Text_Box_1780_SpCnt_3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45" name="Text_Box_1780_SpCnt_37"/>
                  <wp:cNvGraphicFramePr/>
                  <a:graphic xmlns:a="http://schemas.openxmlformats.org/drawingml/2006/main">
                    <a:graphicData uri="http://schemas.openxmlformats.org/drawingml/2006/picture">
                      <pic:pic xmlns:pic="http://schemas.openxmlformats.org/drawingml/2006/picture">
                        <pic:nvPicPr>
                          <pic:cNvPr id="145" name="Text_Box_1780_SpCnt_3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48" name="Text_Box_1780_SpCnt_38"/>
                  <wp:cNvGraphicFramePr/>
                  <a:graphic xmlns:a="http://schemas.openxmlformats.org/drawingml/2006/main">
                    <a:graphicData uri="http://schemas.openxmlformats.org/drawingml/2006/picture">
                      <pic:pic xmlns:pic="http://schemas.openxmlformats.org/drawingml/2006/picture">
                        <pic:nvPicPr>
                          <pic:cNvPr id="148" name="Text_Box_1780_SpCnt_3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52" name="Text_Box_1780_SpCnt_39"/>
                  <wp:cNvGraphicFramePr/>
                  <a:graphic xmlns:a="http://schemas.openxmlformats.org/drawingml/2006/main">
                    <a:graphicData uri="http://schemas.openxmlformats.org/drawingml/2006/picture">
                      <pic:pic xmlns:pic="http://schemas.openxmlformats.org/drawingml/2006/picture">
                        <pic:nvPicPr>
                          <pic:cNvPr id="152" name="Text_Box_1780_SpCnt_3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57" name="Text_Box_1780_SpCnt_40"/>
                  <wp:cNvGraphicFramePr/>
                  <a:graphic xmlns:a="http://schemas.openxmlformats.org/drawingml/2006/main">
                    <a:graphicData uri="http://schemas.openxmlformats.org/drawingml/2006/picture">
                      <pic:pic xmlns:pic="http://schemas.openxmlformats.org/drawingml/2006/picture">
                        <pic:nvPicPr>
                          <pic:cNvPr id="157" name="Text_Box_1780_SpCnt_4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46" name="Text_Box_1780_SpCnt_41"/>
                  <wp:cNvGraphicFramePr/>
                  <a:graphic xmlns:a="http://schemas.openxmlformats.org/drawingml/2006/main">
                    <a:graphicData uri="http://schemas.openxmlformats.org/drawingml/2006/picture">
                      <pic:pic xmlns:pic="http://schemas.openxmlformats.org/drawingml/2006/picture">
                        <pic:nvPicPr>
                          <pic:cNvPr id="146" name="Text_Box_1780_SpCnt_4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44" name="Text_Box_1780_SpCnt_42"/>
                  <wp:cNvGraphicFramePr/>
                  <a:graphic xmlns:a="http://schemas.openxmlformats.org/drawingml/2006/main">
                    <a:graphicData uri="http://schemas.openxmlformats.org/drawingml/2006/picture">
                      <pic:pic xmlns:pic="http://schemas.openxmlformats.org/drawingml/2006/picture">
                        <pic:nvPicPr>
                          <pic:cNvPr id="144" name="Text_Box_1780_SpCnt_4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51" name="Text_Box_1780_SpCnt_43"/>
                  <wp:cNvGraphicFramePr/>
                  <a:graphic xmlns:a="http://schemas.openxmlformats.org/drawingml/2006/main">
                    <a:graphicData uri="http://schemas.openxmlformats.org/drawingml/2006/picture">
                      <pic:pic xmlns:pic="http://schemas.openxmlformats.org/drawingml/2006/picture">
                        <pic:nvPicPr>
                          <pic:cNvPr id="151" name="Text_Box_1780_SpCnt_4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58" name="Text_Box_1780_SpCnt_44"/>
                  <wp:cNvGraphicFramePr/>
                  <a:graphic xmlns:a="http://schemas.openxmlformats.org/drawingml/2006/main">
                    <a:graphicData uri="http://schemas.openxmlformats.org/drawingml/2006/picture">
                      <pic:pic xmlns:pic="http://schemas.openxmlformats.org/drawingml/2006/picture">
                        <pic:nvPicPr>
                          <pic:cNvPr id="158" name="Text_Box_1780_SpCnt_4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41" name="Text_Box_1780_SpCnt_45"/>
                  <wp:cNvGraphicFramePr/>
                  <a:graphic xmlns:a="http://schemas.openxmlformats.org/drawingml/2006/main">
                    <a:graphicData uri="http://schemas.openxmlformats.org/drawingml/2006/picture">
                      <pic:pic xmlns:pic="http://schemas.openxmlformats.org/drawingml/2006/picture">
                        <pic:nvPicPr>
                          <pic:cNvPr id="141" name="Text_Box_1780_SpCnt_4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47" name="Text_Box_1780_SpCnt_46"/>
                  <wp:cNvGraphicFramePr/>
                  <a:graphic xmlns:a="http://schemas.openxmlformats.org/drawingml/2006/main">
                    <a:graphicData uri="http://schemas.openxmlformats.org/drawingml/2006/picture">
                      <pic:pic xmlns:pic="http://schemas.openxmlformats.org/drawingml/2006/picture">
                        <pic:nvPicPr>
                          <pic:cNvPr id="147" name="Text_Box_1780_SpCnt_4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42" name="Text_Box_1780_SpCnt_47"/>
                  <wp:cNvGraphicFramePr/>
                  <a:graphic xmlns:a="http://schemas.openxmlformats.org/drawingml/2006/main">
                    <a:graphicData uri="http://schemas.openxmlformats.org/drawingml/2006/picture">
                      <pic:pic xmlns:pic="http://schemas.openxmlformats.org/drawingml/2006/picture">
                        <pic:nvPicPr>
                          <pic:cNvPr id="142" name="Text_Box_1780_SpCnt_4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49" name="Text_Box_1780_SpCnt_48"/>
                  <wp:cNvGraphicFramePr/>
                  <a:graphic xmlns:a="http://schemas.openxmlformats.org/drawingml/2006/main">
                    <a:graphicData uri="http://schemas.openxmlformats.org/drawingml/2006/picture">
                      <pic:pic xmlns:pic="http://schemas.openxmlformats.org/drawingml/2006/picture">
                        <pic:nvPicPr>
                          <pic:cNvPr id="149" name="Text_Box_1780_SpCnt_4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43" name="Text_Box_1780_SpCnt_49"/>
                  <wp:cNvGraphicFramePr/>
                  <a:graphic xmlns:a="http://schemas.openxmlformats.org/drawingml/2006/main">
                    <a:graphicData uri="http://schemas.openxmlformats.org/drawingml/2006/picture">
                      <pic:pic xmlns:pic="http://schemas.openxmlformats.org/drawingml/2006/picture">
                        <pic:nvPicPr>
                          <pic:cNvPr id="143" name="Text_Box_1780_SpCnt_4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50" name="Text_Box_1780_SpCnt_50"/>
                  <wp:cNvGraphicFramePr/>
                  <a:graphic xmlns:a="http://schemas.openxmlformats.org/drawingml/2006/main">
                    <a:graphicData uri="http://schemas.openxmlformats.org/drawingml/2006/picture">
                      <pic:pic xmlns:pic="http://schemas.openxmlformats.org/drawingml/2006/picture">
                        <pic:nvPicPr>
                          <pic:cNvPr id="150" name="Text_Box_1780_SpCnt_5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59" name="Text_Box_1780_SpCnt_51"/>
                  <wp:cNvGraphicFramePr/>
                  <a:graphic xmlns:a="http://schemas.openxmlformats.org/drawingml/2006/main">
                    <a:graphicData uri="http://schemas.openxmlformats.org/drawingml/2006/picture">
                      <pic:pic xmlns:pic="http://schemas.openxmlformats.org/drawingml/2006/picture">
                        <pic:nvPicPr>
                          <pic:cNvPr id="159" name="Text_Box_1780_SpCnt_5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62" name="Text_Box_1780_SpCnt_52"/>
                  <wp:cNvGraphicFramePr/>
                  <a:graphic xmlns:a="http://schemas.openxmlformats.org/drawingml/2006/main">
                    <a:graphicData uri="http://schemas.openxmlformats.org/drawingml/2006/picture">
                      <pic:pic xmlns:pic="http://schemas.openxmlformats.org/drawingml/2006/picture">
                        <pic:nvPicPr>
                          <pic:cNvPr id="162" name="Text_Box_1780_SpCnt_5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61" name="Text_Box_1780_SpCnt_53"/>
                  <wp:cNvGraphicFramePr/>
                  <a:graphic xmlns:a="http://schemas.openxmlformats.org/drawingml/2006/main">
                    <a:graphicData uri="http://schemas.openxmlformats.org/drawingml/2006/picture">
                      <pic:pic xmlns:pic="http://schemas.openxmlformats.org/drawingml/2006/picture">
                        <pic:nvPicPr>
                          <pic:cNvPr id="161" name="Text_Box_1780_SpCnt_5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63" name="Text_Box_1780_SpCnt_54"/>
                  <wp:cNvGraphicFramePr/>
                  <a:graphic xmlns:a="http://schemas.openxmlformats.org/drawingml/2006/main">
                    <a:graphicData uri="http://schemas.openxmlformats.org/drawingml/2006/picture">
                      <pic:pic xmlns:pic="http://schemas.openxmlformats.org/drawingml/2006/picture">
                        <pic:nvPicPr>
                          <pic:cNvPr id="163" name="Text_Box_1780_SpCnt_5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64" name="Text_Box_1780_SpCnt_55"/>
                  <wp:cNvGraphicFramePr/>
                  <a:graphic xmlns:a="http://schemas.openxmlformats.org/drawingml/2006/main">
                    <a:graphicData uri="http://schemas.openxmlformats.org/drawingml/2006/picture">
                      <pic:pic xmlns:pic="http://schemas.openxmlformats.org/drawingml/2006/picture">
                        <pic:nvPicPr>
                          <pic:cNvPr id="164" name="Text_Box_1780_SpCnt_5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66" name="Text_Box_1780_SpCnt_56"/>
                  <wp:cNvGraphicFramePr/>
                  <a:graphic xmlns:a="http://schemas.openxmlformats.org/drawingml/2006/main">
                    <a:graphicData uri="http://schemas.openxmlformats.org/drawingml/2006/picture">
                      <pic:pic xmlns:pic="http://schemas.openxmlformats.org/drawingml/2006/picture">
                        <pic:nvPicPr>
                          <pic:cNvPr id="166" name="Text_Box_1780_SpCnt_5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69" name="Text_Box_1780_SpCnt_57"/>
                  <wp:cNvGraphicFramePr/>
                  <a:graphic xmlns:a="http://schemas.openxmlformats.org/drawingml/2006/main">
                    <a:graphicData uri="http://schemas.openxmlformats.org/drawingml/2006/picture">
                      <pic:pic xmlns:pic="http://schemas.openxmlformats.org/drawingml/2006/picture">
                        <pic:nvPicPr>
                          <pic:cNvPr id="169" name="Text_Box_1780_SpCnt_5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60" name="Text_Box_1780_SpCnt_58"/>
                  <wp:cNvGraphicFramePr/>
                  <a:graphic xmlns:a="http://schemas.openxmlformats.org/drawingml/2006/main">
                    <a:graphicData uri="http://schemas.openxmlformats.org/drawingml/2006/picture">
                      <pic:pic xmlns:pic="http://schemas.openxmlformats.org/drawingml/2006/picture">
                        <pic:nvPicPr>
                          <pic:cNvPr id="160" name="Text_Box_1780_SpCnt_5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65" name="Text_Box_1780_SpCnt_59"/>
                  <wp:cNvGraphicFramePr/>
                  <a:graphic xmlns:a="http://schemas.openxmlformats.org/drawingml/2006/main">
                    <a:graphicData uri="http://schemas.openxmlformats.org/drawingml/2006/picture">
                      <pic:pic xmlns:pic="http://schemas.openxmlformats.org/drawingml/2006/picture">
                        <pic:nvPicPr>
                          <pic:cNvPr id="165" name="Text_Box_1780_SpCnt_5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67" name="Text_Box_1780_SpCnt_60"/>
                  <wp:cNvGraphicFramePr/>
                  <a:graphic xmlns:a="http://schemas.openxmlformats.org/drawingml/2006/main">
                    <a:graphicData uri="http://schemas.openxmlformats.org/drawingml/2006/picture">
                      <pic:pic xmlns:pic="http://schemas.openxmlformats.org/drawingml/2006/picture">
                        <pic:nvPicPr>
                          <pic:cNvPr id="167" name="Text_Box_1780_SpCnt_6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68" name="Text_Box_1780_SpCnt_61"/>
                  <wp:cNvGraphicFramePr/>
                  <a:graphic xmlns:a="http://schemas.openxmlformats.org/drawingml/2006/main">
                    <a:graphicData uri="http://schemas.openxmlformats.org/drawingml/2006/picture">
                      <pic:pic xmlns:pic="http://schemas.openxmlformats.org/drawingml/2006/picture">
                        <pic:nvPicPr>
                          <pic:cNvPr id="168" name="Text_Box_1780_SpCnt_6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74" name="Text_Box_1780_SpCnt_62"/>
                  <wp:cNvGraphicFramePr/>
                  <a:graphic xmlns:a="http://schemas.openxmlformats.org/drawingml/2006/main">
                    <a:graphicData uri="http://schemas.openxmlformats.org/drawingml/2006/picture">
                      <pic:pic xmlns:pic="http://schemas.openxmlformats.org/drawingml/2006/picture">
                        <pic:nvPicPr>
                          <pic:cNvPr id="174" name="Text_Box_1780_SpCnt_6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70" name="Text_Box_1780_SpCnt_63"/>
                  <wp:cNvGraphicFramePr/>
                  <a:graphic xmlns:a="http://schemas.openxmlformats.org/drawingml/2006/main">
                    <a:graphicData uri="http://schemas.openxmlformats.org/drawingml/2006/picture">
                      <pic:pic xmlns:pic="http://schemas.openxmlformats.org/drawingml/2006/picture">
                        <pic:nvPicPr>
                          <pic:cNvPr id="170" name="Text_Box_1780_SpCnt_6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71" name="Text_Box_1780_SpCnt_64"/>
                  <wp:cNvGraphicFramePr/>
                  <a:graphic xmlns:a="http://schemas.openxmlformats.org/drawingml/2006/main">
                    <a:graphicData uri="http://schemas.openxmlformats.org/drawingml/2006/picture">
                      <pic:pic xmlns:pic="http://schemas.openxmlformats.org/drawingml/2006/picture">
                        <pic:nvPicPr>
                          <pic:cNvPr id="171" name="Text_Box_1780_SpCnt_6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72" name="Text_Box_1780_SpCnt_65"/>
                  <wp:cNvGraphicFramePr/>
                  <a:graphic xmlns:a="http://schemas.openxmlformats.org/drawingml/2006/main">
                    <a:graphicData uri="http://schemas.openxmlformats.org/drawingml/2006/picture">
                      <pic:pic xmlns:pic="http://schemas.openxmlformats.org/drawingml/2006/picture">
                        <pic:nvPicPr>
                          <pic:cNvPr id="172" name="Text_Box_1780_SpCnt_6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73" name="Text_Box_1780_SpCnt_66"/>
                  <wp:cNvGraphicFramePr/>
                  <a:graphic xmlns:a="http://schemas.openxmlformats.org/drawingml/2006/main">
                    <a:graphicData uri="http://schemas.openxmlformats.org/drawingml/2006/picture">
                      <pic:pic xmlns:pic="http://schemas.openxmlformats.org/drawingml/2006/picture">
                        <pic:nvPicPr>
                          <pic:cNvPr id="173" name="Text_Box_1780_SpCnt_6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83" name="Text_Box_1780_SpCnt_67"/>
                  <wp:cNvGraphicFramePr/>
                  <a:graphic xmlns:a="http://schemas.openxmlformats.org/drawingml/2006/main">
                    <a:graphicData uri="http://schemas.openxmlformats.org/drawingml/2006/picture">
                      <pic:pic xmlns:pic="http://schemas.openxmlformats.org/drawingml/2006/picture">
                        <pic:nvPicPr>
                          <pic:cNvPr id="183" name="Text_Box_1780_SpCnt_6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81" name="Text_Box_1780_SpCnt_68"/>
                  <wp:cNvGraphicFramePr/>
                  <a:graphic xmlns:a="http://schemas.openxmlformats.org/drawingml/2006/main">
                    <a:graphicData uri="http://schemas.openxmlformats.org/drawingml/2006/picture">
                      <pic:pic xmlns:pic="http://schemas.openxmlformats.org/drawingml/2006/picture">
                        <pic:nvPicPr>
                          <pic:cNvPr id="181" name="Text_Box_1780_SpCnt_6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80" name="Text_Box_1780_SpCnt_69"/>
                  <wp:cNvGraphicFramePr/>
                  <a:graphic xmlns:a="http://schemas.openxmlformats.org/drawingml/2006/main">
                    <a:graphicData uri="http://schemas.openxmlformats.org/drawingml/2006/picture">
                      <pic:pic xmlns:pic="http://schemas.openxmlformats.org/drawingml/2006/picture">
                        <pic:nvPicPr>
                          <pic:cNvPr id="180" name="Text_Box_1780_SpCnt_6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82" name="Text_Box_1780_SpCnt_70"/>
                  <wp:cNvGraphicFramePr/>
                  <a:graphic xmlns:a="http://schemas.openxmlformats.org/drawingml/2006/main">
                    <a:graphicData uri="http://schemas.openxmlformats.org/drawingml/2006/picture">
                      <pic:pic xmlns:pic="http://schemas.openxmlformats.org/drawingml/2006/picture">
                        <pic:nvPicPr>
                          <pic:cNvPr id="182" name="Text_Box_1780_SpCnt_7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88" name="Text_Box_1780_SpCnt_71"/>
                  <wp:cNvGraphicFramePr/>
                  <a:graphic xmlns:a="http://schemas.openxmlformats.org/drawingml/2006/main">
                    <a:graphicData uri="http://schemas.openxmlformats.org/drawingml/2006/picture">
                      <pic:pic xmlns:pic="http://schemas.openxmlformats.org/drawingml/2006/picture">
                        <pic:nvPicPr>
                          <pic:cNvPr id="188" name="Text_Box_1780_SpCnt_7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93" name="Text_Box_1780_SpCnt_72"/>
                  <wp:cNvGraphicFramePr/>
                  <a:graphic xmlns:a="http://schemas.openxmlformats.org/drawingml/2006/main">
                    <a:graphicData uri="http://schemas.openxmlformats.org/drawingml/2006/picture">
                      <pic:pic xmlns:pic="http://schemas.openxmlformats.org/drawingml/2006/picture">
                        <pic:nvPicPr>
                          <pic:cNvPr id="193" name="Text_Box_1780_SpCnt_7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92" name="Text_Box_1780_SpCnt_73"/>
                  <wp:cNvGraphicFramePr/>
                  <a:graphic xmlns:a="http://schemas.openxmlformats.org/drawingml/2006/main">
                    <a:graphicData uri="http://schemas.openxmlformats.org/drawingml/2006/picture">
                      <pic:pic xmlns:pic="http://schemas.openxmlformats.org/drawingml/2006/picture">
                        <pic:nvPicPr>
                          <pic:cNvPr id="192" name="Text_Box_1780_SpCnt_7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85" name="Text_Box_1780_SpCnt_74"/>
                  <wp:cNvGraphicFramePr/>
                  <a:graphic xmlns:a="http://schemas.openxmlformats.org/drawingml/2006/main">
                    <a:graphicData uri="http://schemas.openxmlformats.org/drawingml/2006/picture">
                      <pic:pic xmlns:pic="http://schemas.openxmlformats.org/drawingml/2006/picture">
                        <pic:nvPicPr>
                          <pic:cNvPr id="185" name="Text_Box_1780_SpCnt_7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86" name="Text_Box_1780_SpCnt_75"/>
                  <wp:cNvGraphicFramePr/>
                  <a:graphic xmlns:a="http://schemas.openxmlformats.org/drawingml/2006/main">
                    <a:graphicData uri="http://schemas.openxmlformats.org/drawingml/2006/picture">
                      <pic:pic xmlns:pic="http://schemas.openxmlformats.org/drawingml/2006/picture">
                        <pic:nvPicPr>
                          <pic:cNvPr id="186" name="Text_Box_1780_SpCnt_7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89" name="Text_Box_1780_SpCnt_76"/>
                  <wp:cNvGraphicFramePr/>
                  <a:graphic xmlns:a="http://schemas.openxmlformats.org/drawingml/2006/main">
                    <a:graphicData uri="http://schemas.openxmlformats.org/drawingml/2006/picture">
                      <pic:pic xmlns:pic="http://schemas.openxmlformats.org/drawingml/2006/picture">
                        <pic:nvPicPr>
                          <pic:cNvPr id="189" name="Text_Box_1780_SpCnt_7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90" name="Text_Box_1780_SpCnt_77"/>
                  <wp:cNvGraphicFramePr/>
                  <a:graphic xmlns:a="http://schemas.openxmlformats.org/drawingml/2006/main">
                    <a:graphicData uri="http://schemas.openxmlformats.org/drawingml/2006/picture">
                      <pic:pic xmlns:pic="http://schemas.openxmlformats.org/drawingml/2006/picture">
                        <pic:nvPicPr>
                          <pic:cNvPr id="190" name="Text_Box_1780_SpCnt_7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91" name="Text_Box_1780_SpCnt_78"/>
                  <wp:cNvGraphicFramePr/>
                  <a:graphic xmlns:a="http://schemas.openxmlformats.org/drawingml/2006/main">
                    <a:graphicData uri="http://schemas.openxmlformats.org/drawingml/2006/picture">
                      <pic:pic xmlns:pic="http://schemas.openxmlformats.org/drawingml/2006/picture">
                        <pic:nvPicPr>
                          <pic:cNvPr id="191" name="Text_Box_1780_SpCnt_7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84" name="Text_Box_1780_SpCnt_79"/>
                  <wp:cNvGraphicFramePr/>
                  <a:graphic xmlns:a="http://schemas.openxmlformats.org/drawingml/2006/main">
                    <a:graphicData uri="http://schemas.openxmlformats.org/drawingml/2006/picture">
                      <pic:pic xmlns:pic="http://schemas.openxmlformats.org/drawingml/2006/picture">
                        <pic:nvPicPr>
                          <pic:cNvPr id="184" name="Text_Box_1780_SpCnt_7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87" name="Text_Box_1780_SpCnt_80"/>
                  <wp:cNvGraphicFramePr/>
                  <a:graphic xmlns:a="http://schemas.openxmlformats.org/drawingml/2006/main">
                    <a:graphicData uri="http://schemas.openxmlformats.org/drawingml/2006/picture">
                      <pic:pic xmlns:pic="http://schemas.openxmlformats.org/drawingml/2006/picture">
                        <pic:nvPicPr>
                          <pic:cNvPr id="187" name="Text_Box_1780_SpCnt_8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05" name="Text_Box_1780_SpCnt_81"/>
                  <wp:cNvGraphicFramePr/>
                  <a:graphic xmlns:a="http://schemas.openxmlformats.org/drawingml/2006/main">
                    <a:graphicData uri="http://schemas.openxmlformats.org/drawingml/2006/picture">
                      <pic:pic xmlns:pic="http://schemas.openxmlformats.org/drawingml/2006/picture">
                        <pic:nvPicPr>
                          <pic:cNvPr id="205" name="Text_Box_1780_SpCnt_8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02" name="Text_Box_1780_SpCnt_82"/>
                  <wp:cNvGraphicFramePr/>
                  <a:graphic xmlns:a="http://schemas.openxmlformats.org/drawingml/2006/main">
                    <a:graphicData uri="http://schemas.openxmlformats.org/drawingml/2006/picture">
                      <pic:pic xmlns:pic="http://schemas.openxmlformats.org/drawingml/2006/picture">
                        <pic:nvPicPr>
                          <pic:cNvPr id="202" name="Text_Box_1780_SpCnt_8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97" name="Text_Box_1780_SpCnt_83"/>
                  <wp:cNvGraphicFramePr/>
                  <a:graphic xmlns:a="http://schemas.openxmlformats.org/drawingml/2006/main">
                    <a:graphicData uri="http://schemas.openxmlformats.org/drawingml/2006/picture">
                      <pic:pic xmlns:pic="http://schemas.openxmlformats.org/drawingml/2006/picture">
                        <pic:nvPicPr>
                          <pic:cNvPr id="197" name="Text_Box_1780_SpCnt_8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98" name="Text_Box_1780_SpCnt_84"/>
                  <wp:cNvGraphicFramePr/>
                  <a:graphic xmlns:a="http://schemas.openxmlformats.org/drawingml/2006/main">
                    <a:graphicData uri="http://schemas.openxmlformats.org/drawingml/2006/picture">
                      <pic:pic xmlns:pic="http://schemas.openxmlformats.org/drawingml/2006/picture">
                        <pic:nvPicPr>
                          <pic:cNvPr id="198" name="Text_Box_1780_SpCnt_8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99" name="Text_Box_1780_SpCnt_85"/>
                  <wp:cNvGraphicFramePr/>
                  <a:graphic xmlns:a="http://schemas.openxmlformats.org/drawingml/2006/main">
                    <a:graphicData uri="http://schemas.openxmlformats.org/drawingml/2006/picture">
                      <pic:pic xmlns:pic="http://schemas.openxmlformats.org/drawingml/2006/picture">
                        <pic:nvPicPr>
                          <pic:cNvPr id="199" name="Text_Box_1780_SpCnt_8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00" name="Text_Box_1780_SpCnt_86"/>
                  <wp:cNvGraphicFramePr/>
                  <a:graphic xmlns:a="http://schemas.openxmlformats.org/drawingml/2006/main">
                    <a:graphicData uri="http://schemas.openxmlformats.org/drawingml/2006/picture">
                      <pic:pic xmlns:pic="http://schemas.openxmlformats.org/drawingml/2006/picture">
                        <pic:nvPicPr>
                          <pic:cNvPr id="200" name="Text_Box_1780_SpCnt_8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94" name="Text_Box_1780_SpCnt_87"/>
                  <wp:cNvGraphicFramePr/>
                  <a:graphic xmlns:a="http://schemas.openxmlformats.org/drawingml/2006/main">
                    <a:graphicData uri="http://schemas.openxmlformats.org/drawingml/2006/picture">
                      <pic:pic xmlns:pic="http://schemas.openxmlformats.org/drawingml/2006/picture">
                        <pic:nvPicPr>
                          <pic:cNvPr id="194" name="Text_Box_1780_SpCnt_8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06" name="Text_Box_1780_SpCnt_88"/>
                  <wp:cNvGraphicFramePr/>
                  <a:graphic xmlns:a="http://schemas.openxmlformats.org/drawingml/2006/main">
                    <a:graphicData uri="http://schemas.openxmlformats.org/drawingml/2006/picture">
                      <pic:pic xmlns:pic="http://schemas.openxmlformats.org/drawingml/2006/picture">
                        <pic:nvPicPr>
                          <pic:cNvPr id="206" name="Text_Box_1780_SpCnt_8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07" name="Text_Box_1780_SpCnt_89"/>
                  <wp:cNvGraphicFramePr/>
                  <a:graphic xmlns:a="http://schemas.openxmlformats.org/drawingml/2006/main">
                    <a:graphicData uri="http://schemas.openxmlformats.org/drawingml/2006/picture">
                      <pic:pic xmlns:pic="http://schemas.openxmlformats.org/drawingml/2006/picture">
                        <pic:nvPicPr>
                          <pic:cNvPr id="207" name="Text_Box_1780_SpCnt_8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01" name="Text_Box_1780_SpCnt_90"/>
                  <wp:cNvGraphicFramePr/>
                  <a:graphic xmlns:a="http://schemas.openxmlformats.org/drawingml/2006/main">
                    <a:graphicData uri="http://schemas.openxmlformats.org/drawingml/2006/picture">
                      <pic:pic xmlns:pic="http://schemas.openxmlformats.org/drawingml/2006/picture">
                        <pic:nvPicPr>
                          <pic:cNvPr id="201" name="Text_Box_1780_SpCnt_9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03" name="Text_Box_1780_SpCnt_91"/>
                  <wp:cNvGraphicFramePr/>
                  <a:graphic xmlns:a="http://schemas.openxmlformats.org/drawingml/2006/main">
                    <a:graphicData uri="http://schemas.openxmlformats.org/drawingml/2006/picture">
                      <pic:pic xmlns:pic="http://schemas.openxmlformats.org/drawingml/2006/picture">
                        <pic:nvPicPr>
                          <pic:cNvPr id="203" name="Text_Box_1780_SpCnt_9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04" name="Text_Box_1780_SpCnt_92"/>
                  <wp:cNvGraphicFramePr/>
                  <a:graphic xmlns:a="http://schemas.openxmlformats.org/drawingml/2006/main">
                    <a:graphicData uri="http://schemas.openxmlformats.org/drawingml/2006/picture">
                      <pic:pic xmlns:pic="http://schemas.openxmlformats.org/drawingml/2006/picture">
                        <pic:nvPicPr>
                          <pic:cNvPr id="204" name="Text_Box_1780_SpCnt_9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08" name="Text_Box_1780_SpCnt_93"/>
                  <wp:cNvGraphicFramePr/>
                  <a:graphic xmlns:a="http://schemas.openxmlformats.org/drawingml/2006/main">
                    <a:graphicData uri="http://schemas.openxmlformats.org/drawingml/2006/picture">
                      <pic:pic xmlns:pic="http://schemas.openxmlformats.org/drawingml/2006/picture">
                        <pic:nvPicPr>
                          <pic:cNvPr id="208" name="Text_Box_1780_SpCnt_9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09" name="Text_Box_1780_SpCnt_94"/>
                  <wp:cNvGraphicFramePr/>
                  <a:graphic xmlns:a="http://schemas.openxmlformats.org/drawingml/2006/main">
                    <a:graphicData uri="http://schemas.openxmlformats.org/drawingml/2006/picture">
                      <pic:pic xmlns:pic="http://schemas.openxmlformats.org/drawingml/2006/picture">
                        <pic:nvPicPr>
                          <pic:cNvPr id="209" name="Text_Box_1780_SpCnt_9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95" name="Text_Box_1780_SpCnt_95"/>
                  <wp:cNvGraphicFramePr/>
                  <a:graphic xmlns:a="http://schemas.openxmlformats.org/drawingml/2006/main">
                    <a:graphicData uri="http://schemas.openxmlformats.org/drawingml/2006/picture">
                      <pic:pic xmlns:pic="http://schemas.openxmlformats.org/drawingml/2006/picture">
                        <pic:nvPicPr>
                          <pic:cNvPr id="195" name="Text_Box_1780_SpCnt_9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96" name="Text_Box_1780_SpCnt_96"/>
                  <wp:cNvGraphicFramePr/>
                  <a:graphic xmlns:a="http://schemas.openxmlformats.org/drawingml/2006/main">
                    <a:graphicData uri="http://schemas.openxmlformats.org/drawingml/2006/picture">
                      <pic:pic xmlns:pic="http://schemas.openxmlformats.org/drawingml/2006/picture">
                        <pic:nvPicPr>
                          <pic:cNvPr id="196" name="Text_Box_1780_SpCnt_9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12" name="Text_Box_1780_SpCnt_97"/>
                  <wp:cNvGraphicFramePr/>
                  <a:graphic xmlns:a="http://schemas.openxmlformats.org/drawingml/2006/main">
                    <a:graphicData uri="http://schemas.openxmlformats.org/drawingml/2006/picture">
                      <pic:pic xmlns:pic="http://schemas.openxmlformats.org/drawingml/2006/picture">
                        <pic:nvPicPr>
                          <pic:cNvPr id="212" name="Text_Box_1780_SpCnt_9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13" name="Text_Box_1780_SpCnt_98"/>
                  <wp:cNvGraphicFramePr/>
                  <a:graphic xmlns:a="http://schemas.openxmlformats.org/drawingml/2006/main">
                    <a:graphicData uri="http://schemas.openxmlformats.org/drawingml/2006/picture">
                      <pic:pic xmlns:pic="http://schemas.openxmlformats.org/drawingml/2006/picture">
                        <pic:nvPicPr>
                          <pic:cNvPr id="213" name="Text_Box_1780_SpCnt_9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10" name="Text_Box_1780_SpCnt_99"/>
                  <wp:cNvGraphicFramePr/>
                  <a:graphic xmlns:a="http://schemas.openxmlformats.org/drawingml/2006/main">
                    <a:graphicData uri="http://schemas.openxmlformats.org/drawingml/2006/picture">
                      <pic:pic xmlns:pic="http://schemas.openxmlformats.org/drawingml/2006/picture">
                        <pic:nvPicPr>
                          <pic:cNvPr id="210" name="Text_Box_1780_SpCnt_9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11" name="Text_Box_1780_SpCnt_100"/>
                  <wp:cNvGraphicFramePr/>
                  <a:graphic xmlns:a="http://schemas.openxmlformats.org/drawingml/2006/main">
                    <a:graphicData uri="http://schemas.openxmlformats.org/drawingml/2006/picture">
                      <pic:pic xmlns:pic="http://schemas.openxmlformats.org/drawingml/2006/picture">
                        <pic:nvPicPr>
                          <pic:cNvPr id="211" name="Text_Box_1780_SpCnt_10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14" name="Text_Box_1780_SpCnt_101"/>
                  <wp:cNvGraphicFramePr/>
                  <a:graphic xmlns:a="http://schemas.openxmlformats.org/drawingml/2006/main">
                    <a:graphicData uri="http://schemas.openxmlformats.org/drawingml/2006/picture">
                      <pic:pic xmlns:pic="http://schemas.openxmlformats.org/drawingml/2006/picture">
                        <pic:nvPicPr>
                          <pic:cNvPr id="214" name="Text_Box_1780_SpCnt_10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15" name="Text_Box_1780_SpCnt_102"/>
                  <wp:cNvGraphicFramePr/>
                  <a:graphic xmlns:a="http://schemas.openxmlformats.org/drawingml/2006/main">
                    <a:graphicData uri="http://schemas.openxmlformats.org/drawingml/2006/picture">
                      <pic:pic xmlns:pic="http://schemas.openxmlformats.org/drawingml/2006/picture">
                        <pic:nvPicPr>
                          <pic:cNvPr id="215" name="Text_Box_1780_SpCnt_10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20" name="Text_Box_1780_SpCnt_103"/>
                  <wp:cNvGraphicFramePr/>
                  <a:graphic xmlns:a="http://schemas.openxmlformats.org/drawingml/2006/main">
                    <a:graphicData uri="http://schemas.openxmlformats.org/drawingml/2006/picture">
                      <pic:pic xmlns:pic="http://schemas.openxmlformats.org/drawingml/2006/picture">
                        <pic:nvPicPr>
                          <pic:cNvPr id="220" name="Text_Box_1780_SpCnt_10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22" name="Text_Box_1780_SpCnt_104"/>
                  <wp:cNvGraphicFramePr/>
                  <a:graphic xmlns:a="http://schemas.openxmlformats.org/drawingml/2006/main">
                    <a:graphicData uri="http://schemas.openxmlformats.org/drawingml/2006/picture">
                      <pic:pic xmlns:pic="http://schemas.openxmlformats.org/drawingml/2006/picture">
                        <pic:nvPicPr>
                          <pic:cNvPr id="222" name="Text_Box_1780_SpCnt_10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26" name="Text_Box_1780_SpCnt_105"/>
                  <wp:cNvGraphicFramePr/>
                  <a:graphic xmlns:a="http://schemas.openxmlformats.org/drawingml/2006/main">
                    <a:graphicData uri="http://schemas.openxmlformats.org/drawingml/2006/picture">
                      <pic:pic xmlns:pic="http://schemas.openxmlformats.org/drawingml/2006/picture">
                        <pic:nvPicPr>
                          <pic:cNvPr id="226" name="Text_Box_1780_SpCnt_10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21" name="Text_Box_1780_SpCnt_106"/>
                  <wp:cNvGraphicFramePr/>
                  <a:graphic xmlns:a="http://schemas.openxmlformats.org/drawingml/2006/main">
                    <a:graphicData uri="http://schemas.openxmlformats.org/drawingml/2006/picture">
                      <pic:pic xmlns:pic="http://schemas.openxmlformats.org/drawingml/2006/picture">
                        <pic:nvPicPr>
                          <pic:cNvPr id="221" name="Text_Box_1780_SpCnt_10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19" name="Text_Box_1780_SpCnt_107"/>
                  <wp:cNvGraphicFramePr/>
                  <a:graphic xmlns:a="http://schemas.openxmlformats.org/drawingml/2006/main">
                    <a:graphicData uri="http://schemas.openxmlformats.org/drawingml/2006/picture">
                      <pic:pic xmlns:pic="http://schemas.openxmlformats.org/drawingml/2006/picture">
                        <pic:nvPicPr>
                          <pic:cNvPr id="219" name="Text_Box_1780_SpCnt_10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27" name="Text_Box_1780_SpCnt_108"/>
                  <wp:cNvGraphicFramePr/>
                  <a:graphic xmlns:a="http://schemas.openxmlformats.org/drawingml/2006/main">
                    <a:graphicData uri="http://schemas.openxmlformats.org/drawingml/2006/picture">
                      <pic:pic xmlns:pic="http://schemas.openxmlformats.org/drawingml/2006/picture">
                        <pic:nvPicPr>
                          <pic:cNvPr id="227" name="Text_Box_1780_SpCnt_10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28" name="Text_Box_1780_SpCnt_109"/>
                  <wp:cNvGraphicFramePr/>
                  <a:graphic xmlns:a="http://schemas.openxmlformats.org/drawingml/2006/main">
                    <a:graphicData uri="http://schemas.openxmlformats.org/drawingml/2006/picture">
                      <pic:pic xmlns:pic="http://schemas.openxmlformats.org/drawingml/2006/picture">
                        <pic:nvPicPr>
                          <pic:cNvPr id="228" name="Text_Box_1780_SpCnt_10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29" name="Text_Box_1780_SpCnt_110"/>
                  <wp:cNvGraphicFramePr/>
                  <a:graphic xmlns:a="http://schemas.openxmlformats.org/drawingml/2006/main">
                    <a:graphicData uri="http://schemas.openxmlformats.org/drawingml/2006/picture">
                      <pic:pic xmlns:pic="http://schemas.openxmlformats.org/drawingml/2006/picture">
                        <pic:nvPicPr>
                          <pic:cNvPr id="229" name="Text_Box_1780_SpCnt_11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16" name="Text_Box_1780_SpCnt_111"/>
                  <wp:cNvGraphicFramePr/>
                  <a:graphic xmlns:a="http://schemas.openxmlformats.org/drawingml/2006/main">
                    <a:graphicData uri="http://schemas.openxmlformats.org/drawingml/2006/picture">
                      <pic:pic xmlns:pic="http://schemas.openxmlformats.org/drawingml/2006/picture">
                        <pic:nvPicPr>
                          <pic:cNvPr id="216" name="Text_Box_1780_SpCnt_11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17" name="Text_Box_1780_SpCnt_112"/>
                  <wp:cNvGraphicFramePr/>
                  <a:graphic xmlns:a="http://schemas.openxmlformats.org/drawingml/2006/main">
                    <a:graphicData uri="http://schemas.openxmlformats.org/drawingml/2006/picture">
                      <pic:pic xmlns:pic="http://schemas.openxmlformats.org/drawingml/2006/picture">
                        <pic:nvPicPr>
                          <pic:cNvPr id="217" name="Text_Box_1780_SpCnt_11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18" name="Text_Box_1780_SpCnt_113"/>
                  <wp:cNvGraphicFramePr/>
                  <a:graphic xmlns:a="http://schemas.openxmlformats.org/drawingml/2006/main">
                    <a:graphicData uri="http://schemas.openxmlformats.org/drawingml/2006/picture">
                      <pic:pic xmlns:pic="http://schemas.openxmlformats.org/drawingml/2006/picture">
                        <pic:nvPicPr>
                          <pic:cNvPr id="218" name="Text_Box_1780_SpCnt_11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25" name="Text_Box_1780_SpCnt_114"/>
                  <wp:cNvGraphicFramePr/>
                  <a:graphic xmlns:a="http://schemas.openxmlformats.org/drawingml/2006/main">
                    <a:graphicData uri="http://schemas.openxmlformats.org/drawingml/2006/picture">
                      <pic:pic xmlns:pic="http://schemas.openxmlformats.org/drawingml/2006/picture">
                        <pic:nvPicPr>
                          <pic:cNvPr id="225" name="Text_Box_1780_SpCnt_11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23" name="Text_Box_1780_SpCnt_115"/>
                  <wp:cNvGraphicFramePr/>
                  <a:graphic xmlns:a="http://schemas.openxmlformats.org/drawingml/2006/main">
                    <a:graphicData uri="http://schemas.openxmlformats.org/drawingml/2006/picture">
                      <pic:pic xmlns:pic="http://schemas.openxmlformats.org/drawingml/2006/picture">
                        <pic:nvPicPr>
                          <pic:cNvPr id="223" name="Text_Box_1780_SpCnt_11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lang w:val="en-US" w:eastAsia="zh-CN" w:bidi="ar"/>
              </w:rPr>
              <w:t>定制1米网络机柜 加2层挡板</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8</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音响线</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2*150支酒红色专业音响线</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9</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其他线材及辅材</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音响壁架、电源线、卡侬线、音频线、音响转接头、线管、扎带等</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批</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10</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安装调试、维护费</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含安装调试、售后服务、技术支持、操作人员培训等</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w:t>
            </w:r>
          </w:p>
        </w:tc>
        <w:tc>
          <w:tcPr>
            <w:tcW w:w="53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会议室LED小间距     显示大屏</w:t>
            </w: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ascii="宋体" w:hAnsi="宋体"/>
                <w:szCs w:val="21"/>
              </w:rPr>
              <w:t>▲</w:t>
            </w:r>
            <w:r>
              <w:rPr>
                <w:rFonts w:hint="eastAsia" w:ascii="宋体" w:hAnsi="宋体" w:eastAsia="宋体" w:cs="宋体"/>
                <w:i w:val="0"/>
                <w:iCs w:val="0"/>
                <w:color w:val="000000"/>
                <w:kern w:val="0"/>
                <w:sz w:val="20"/>
                <w:szCs w:val="20"/>
                <w:u w:val="none"/>
                <w:lang w:val="en-US" w:eastAsia="zh-CN" w:bidi="ar"/>
              </w:rPr>
              <w:t>室内Q1.8 全彩单元板</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显示尺寸：长≥4.16m，高≥2.08m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1、★像素点间距：≤1.8mm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2、单元板分辨率：≥14792 Dots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3、★刷新率：≥4200Hz，支持通过配套控制软件调节刷新率设置选项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4、像素构成：1R、1G、1B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5、★封装方式：SMD表贴三合一，铜线封装，五面黑灯，表面不反光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6、驱动方式：恒流驱动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7、控制方式：同步控制系统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8、维护方式：前后双向维护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9、整屏平整度≤0.04mm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10、白平衡亮度：0-820cd/㎡可调；亮度调节：0-100%亮度可调，256级手动/自动调节，屏幕亮度具有随环境照度的变化任意调整功能；亮度均匀性≥99%</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11、色温800K-20000K可调；白平衡状态下色温在6500K±5%；色温为6500K时，100%75%50%25%档电平白场调节色温误差≤100K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12、水平视角≥175°；垂直视角≥175°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13、对比度≥10000：1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14、灰度等级≥16bit，红绿蓝各256级，可达65536级；采用EPWM 灰阶控制技术提升低灰视觉效果，100%亮度时，16bit灰度；70%亮度，16bit灰度；50%亮度，16bit灰度；20%亮度，14bit灰度，显示画面无单列或单行像素失控现象；支持0-100%亮度时，8-16bits灰度自定义设置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15、峰值功耗≤250W/m²；平均功耗≤100W/m²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16、供电电源：在4.2*（1±10%）VDC～4.5*（1±10%）VDC范围内能正常工作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17、输入电压：支持宽压输入 在96-264VAC，支持窄压输入在200-240VAC，在该范围内能正常工作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18、防护性能：具有防静电、防电磁干扰、防腐蚀、防霉菌、防虫、防潮、抗震动、抗雷击等功能；具有电源过压、过流、断电保护、分布上电措施、防护等级达到IP60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19、为不影响屏体周边人员的健康，要求投标人所投LED显示屏在正常工作中，显示屏1m范围内，前后左右4个位置噪音不大于1.4dB；所投LED显示屏观看舒适度需符合：“人眼视觉舒适度(VICO)1级，基本无疲劳感。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20、所投LED显示屏的灯管耐焊耐热：灯珠引脚无氧化,焊接正常,灯珠胶体正常,点亮正常；灯管抗静电(ESD)测试：HBM模式:ESD&gt;2000V,灯珠点亮无异常；灯管红墨水试验：纯红墨水常温浸泡24h,无渗透,灯管气密性良好。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21、要求投标人所投LED显示屏支持DVI、VGA、SDI输入、支持HDMI视频输入、支持视频PAL/NTSC制式自适应、支持复合视频信号、支持USB输入、支持IP输入、支持CVBS/DP/HDBASE输入、支持光纤/网络等接口输入。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22、防电击等级依据GB4943.1标准，使用基本绝缘作为基本安全防护，同时使用保护连接和保护接地作为附加安全防护，达到防电击保护I类设备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23、产品采用高端芯片，可智能调节正常工作与睡眠状态下的节能效果（动态节能，智能息屏），开启智能节电功能比没有开启，节能55%以上。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24、长时间没有使用屏体，屏体自动切入除湿模式，通过预热灯珠，蒸发掉灯珠内部湿气，使屏体从10%到100%亮度逐步显示，达到保护LED灯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25、具有SELV电路，在SELV电路中任何两个导体之间或任何一个这样的导体和地之间的电压的限值为：正常工作条件下，不超过42.4V交流峰值或60V直流值单一故障条件下，在200ms后不超过42.4V（30V有效值）交流峰值或60V直流值，并且在200ms内其极限值不超过71V（50V有效值）交流峰值或120V直流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26、LED显示屏保护地端子应有标记。进行标记耐久性试验后，标记牢固、清晰可辨。LED显示屏在熔断器和开关电源处应有警告标示。进行标记耐久性试验后，标记应牢固、清晰可辨。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27、支持手机、平板可视化控制LED大屏，切换播放内容，定制播放计划等；支持手机添加LOGO、时间、日期、文字标语、滚动字幕、图片、视频窗口；支持分屏操作。支持任意比例拼接素材和多图层叠加；支持无线遥控、手机遥控，一键切换视频；支持与智能播控软件一键IP连接。 </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3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显示屏开关电源</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输入电压范围： 176～264VAC  额定输出电压：4.5VDC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纹波和噪声：≤150mVp-p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过载保护：额定负载的110～150%范围内电源保护，去载恢复正常输出短路保护：输出端短路时电源保护，输出关断，去掉短路恢复正常输出安全标准：符合GB4943-2001，UL1012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抗电强度：I/P-O/P、I/P-FG：1.5KVAC    O/P-FG：0.5KV绝缘电阻：I/P-O/P、I/P-FG、O/P-FG：100MΩ/500VDC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（电磁干扰）传导和辐射：符合EN55022，Class 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平均无故障工作时间（MTBF）：≤100，000小时</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ascii="宋体" w:hAnsi="宋体"/>
                <w:szCs w:val="21"/>
              </w:rPr>
              <w:t>▲</w:t>
            </w:r>
            <w:r>
              <w:rPr>
                <w:rFonts w:hint="eastAsia" w:ascii="宋体" w:hAnsi="宋体" w:eastAsia="宋体" w:cs="宋体"/>
                <w:i w:val="0"/>
                <w:iCs w:val="0"/>
                <w:color w:val="000000"/>
                <w:kern w:val="0"/>
                <w:sz w:val="20"/>
                <w:szCs w:val="20"/>
                <w:u w:val="none"/>
                <w:lang w:val="en-US" w:eastAsia="zh-CN" w:bidi="ar"/>
              </w:rPr>
              <w:t>视频处理器</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具有2类视频输入接口，包括1路HDMI和2路DVI；</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最大输入分辨率1920×1200@60Hz，支持分辨率任意设置；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最大带载260万像素，最宽可达4096点，或最高可达2560点；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支持视频源任意切换，缩放和裁剪；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支持画面偏移；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双USB 2.0高速通讯接口，用于电脑调试和主控间任意级联；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支持亮度和色温调节；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支持低亮高灰；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支持HDCP高带宽数字内容保护技术；</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接收卡</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1、集成12路HUB75接口，无需再配转接板，更方便，成本更低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2、减少接插连接件，减少故障点，故障率更低；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3、支持常规芯片实现高刷新、高灰度、高亮度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4、支持市场主流常规芯片、PWM芯片、士兰芯片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5、全新灰度引擎，低灰度表现更佳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6、可消除单元板设计引起的某行偏暗、低灰偏红、鬼影等细节问题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7、支持高精度的色度、亮度一体化逐点校正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8、支持静态到64扫之间的任意扫描类型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9、支持灵活抽点、抽行抽列、数据组偏移，可轻松实现各种异型屏、创意显示屏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10、单卡支持24组RGB信号输出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11、支持箱体标定标序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12、支持超大带载面积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13、支持DC 3.8V～5.5V超宽工作电压</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3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5"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ascii="宋体" w:hAnsi="宋体"/>
                <w:szCs w:val="21"/>
              </w:rPr>
              <w:t>▲</w:t>
            </w:r>
            <w:r>
              <w:rPr>
                <w:rFonts w:hint="eastAsia" w:ascii="宋体" w:hAnsi="宋体" w:eastAsia="宋体" w:cs="宋体"/>
                <w:i w:val="0"/>
                <w:iCs w:val="0"/>
                <w:color w:val="000000"/>
                <w:kern w:val="0"/>
                <w:sz w:val="20"/>
                <w:szCs w:val="20"/>
                <w:u w:val="none"/>
                <w:lang w:val="en-US" w:eastAsia="zh-CN" w:bidi="ar"/>
              </w:rPr>
              <w:t>播控软件、无线投屏器</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用于 LED 显示屏控制和播放的专业软件。该软件功能丰富、性能优越，兼具良好 的操作界面，易学易用。支持视频、音频、图像、文字、Flash、Gif 等形式的媒体文件播放;支持 Microsoft office 的 Word、Excel、PPT 显示;支持时钟、计时、天气预报显示;支持外部视频信号(TV、AV、S-Video、 复合视频)播放;支持多页面多分区节目编辑;软件提供了丰富灵活的视频切换功能、分区特效，以 及三维特效动画，让显示屏的显示效果得到完美展现。</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框架结构</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装饰与显示屏配套，供应商须充分考虑屏体结构安全因素，符合相关工程操作规范。屏体框架用国标热镀锌钢材屏周（边框）装饰设计、选材、制作上除保护屏功能外，还应兼顾屏四周美观，达到美观效果。</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7</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综合布线、配电箱</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国标、纯铜电缆、网线、高清线缆</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批</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8</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安装调试、维护费</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含安装调试、售后服务、技术支持、操作人员培训等</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批</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w:t>
            </w:r>
          </w:p>
        </w:tc>
        <w:tc>
          <w:tcPr>
            <w:tcW w:w="53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安防视频监控 </w:t>
            </w: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高清摄像头 400万</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摄像机传感器类型 1/2.7" Progressive Scan CMOS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最低照度 彩色：0.005 Lux @（F1.2，AGC ON），0 Lux with IR快门 1/3 s～1/100,000 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日夜切换模式 ICR红外滤片式宽动态 数字宽动态镜头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焦距&amp;视场角≥ 4 mm，水平视场角：≥75.3°，垂直视场角：≥41.4°，对角视场角：≥88.2°6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镜头尺寸接口 M12补光红外波长范围≥ 850 nm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防补光过曝支持补光灯类型 红外灯补光距离 最远可≥50 m视频 最大图像尺寸≥ 2560 × 1440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主码流帧率分辨率≥ 50 Hz：25 fps（2560 × 1440，1920 × 1080，1280 × 720）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子码流帧率分辨率 ≥50 Hz：25 fps（1280 × 720，640 × 480，640 × 360）视频压缩标准 主码流：H.265/H.264子码流：H.265/H.264/MJPEG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视频压缩码率 ≥32 Kbps～8 Mbps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H.264编码类型 BaseLine Profile/Main Profile/High Profile</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1、名称：安防宽温电源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2、技术参数：DC12V2A</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32寸监视器 </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支持8bit双路LVDS(1920×1080)高清显示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支持通过串口连接中控设备，进行远程集中控制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实时监控设备温度，高温报警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支持内置喇叭及功放，支持3.5 mm音频输入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支持U盘点播，含文本、图片、音频、视频等多种格式多媒体播放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支持7×24小时工作模式</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32路录像机 </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支持IPC集中管理，包括IPC参数配置、信息的导入/导出、升级等功能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支持即时回放功能，在预览画面下对指定通道的当前录像进行回放，并且不影响其他通道预览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支持4K高清分辨率显示输出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支持H.265、H.264编码前端自适应接入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可接驳符合ONVIF、RTSP标准及众多主流厂商的网络摄像机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支持4K高清网络视频的预览、存储与回放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支持4个SATA接口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支持多路同步回放和同步倒放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支持网络检测（网络流量监控、网络抓包、网络资源统计）功能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支持智能搜索、回放及备份功能，有效提高录像检索与回放效率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支持硬盘配额和硬盘盘组存储模式，可对不同通道分配不同的录像保存容量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支持GB28181、ISUP、萤石云协议接入平台</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硬盘 10T</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监控专用硬盘≥10T</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16"/>
                <w:szCs w:val="16"/>
                <w:u w:val="none"/>
              </w:rPr>
            </w:pP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备份</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视频云存储≥30天</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16口千兆交换机 </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16个千兆RJ45口 低功耗无风扇</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7</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监控线材</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综合线4*2+0.5*2</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批</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8</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其他线材及辅材</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水晶头、线管、扎带、插板等</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批</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9</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安装调试、维护费</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含安装调试、售后服务、技术支持、操作人员培训等</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批</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w:t>
            </w:r>
          </w:p>
        </w:tc>
        <w:tc>
          <w:tcPr>
            <w:tcW w:w="53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综合布线、无线网络</w:t>
            </w: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超五类网线</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芯数：≥4*2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特性阻抗：100±15Ω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工作电容最大值：≤5.6nF/100m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议敷设弯曲半径&gt;8倍线缆外径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敷设拉力：建议敷设时短期拉力&lt;110N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使用拉力：建议使用时长期拉力&lt;20N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施工温度： 0～40℃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使用温度： -10～60℃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操作电压： DC 32～72V </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4芯电话线</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芯数：≥2*2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工作电容最大值：≤5.6nF/100m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施工温度： 0～40℃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使用温度： -10～60℃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操作电压： DC 32～72V </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千兆无线AP </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千兆口(11AC 双频) 11.5标准PoE/DC双供电</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网络面板 </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1.规格：平面面板，可安装任何符合FCC标准的超五类模块；含语音模块、网络数据模块。</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48口千兆交换机 </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≥48个千兆RJ45端口+4个千兆SFP口  支持RIP动态路由、静态路由；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支持DHCP服务器、DHCP中继、ARP代理；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支持四元绑定、DHCP Snooping、ARP/IP/DoS防护等丰富的网络安全防护；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丰富的VLAN功能、完善的QoS策略、强大的ACL访问控制功能；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支持端口汇聚和多种生成树协议，提高链路冗余备份的能力。</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24口千兆POE交换机</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24个千兆PoE口+2个独立SFP</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7</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企业级千兆路由器</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①全新硬件架构，高速数据转发；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②支持认证功能，WEB认证、微信连Wi-Fi；</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③支持行为管理，可以管理PC、手机上的近60款常见应用；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④支持各种安全功能，ARP双重防护，攻击防护，MAC地址过滤等；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⑤支持VPN功能，支持IPSec VPN、PPTP VPN、L2TP VPN客户端和服务器功能；</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8</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机柜</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24" name="Text_Box_1780_SpCnt_116"/>
                  <wp:cNvGraphicFramePr/>
                  <a:graphic xmlns:a="http://schemas.openxmlformats.org/drawingml/2006/main">
                    <a:graphicData uri="http://schemas.openxmlformats.org/drawingml/2006/picture">
                      <pic:pic xmlns:pic="http://schemas.openxmlformats.org/drawingml/2006/picture">
                        <pic:nvPicPr>
                          <pic:cNvPr id="224" name="Text_Box_1780_SpCnt_11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06" name="Text_Box_1780_SpCnt_117"/>
                  <wp:cNvGraphicFramePr/>
                  <a:graphic xmlns:a="http://schemas.openxmlformats.org/drawingml/2006/main">
                    <a:graphicData uri="http://schemas.openxmlformats.org/drawingml/2006/picture">
                      <pic:pic xmlns:pic="http://schemas.openxmlformats.org/drawingml/2006/picture">
                        <pic:nvPicPr>
                          <pic:cNvPr id="106" name="Text_Box_1780_SpCnt_11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04" name="Text_Box_1780_SpCnt_118"/>
                  <wp:cNvGraphicFramePr/>
                  <a:graphic xmlns:a="http://schemas.openxmlformats.org/drawingml/2006/main">
                    <a:graphicData uri="http://schemas.openxmlformats.org/drawingml/2006/picture">
                      <pic:pic xmlns:pic="http://schemas.openxmlformats.org/drawingml/2006/picture">
                        <pic:nvPicPr>
                          <pic:cNvPr id="104" name="Text_Box_1780_SpCnt_11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05" name="Text_Box_1780_SpCnt_119"/>
                  <wp:cNvGraphicFramePr/>
                  <a:graphic xmlns:a="http://schemas.openxmlformats.org/drawingml/2006/main">
                    <a:graphicData uri="http://schemas.openxmlformats.org/drawingml/2006/picture">
                      <pic:pic xmlns:pic="http://schemas.openxmlformats.org/drawingml/2006/picture">
                        <pic:nvPicPr>
                          <pic:cNvPr id="105" name="Text_Box_1780_SpCnt_11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09" name="Text_Box_1780_SpCnt_120"/>
                  <wp:cNvGraphicFramePr/>
                  <a:graphic xmlns:a="http://schemas.openxmlformats.org/drawingml/2006/main">
                    <a:graphicData uri="http://schemas.openxmlformats.org/drawingml/2006/picture">
                      <pic:pic xmlns:pic="http://schemas.openxmlformats.org/drawingml/2006/picture">
                        <pic:nvPicPr>
                          <pic:cNvPr id="109" name="Text_Box_1780_SpCnt_12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08" name="Text_Box_1780_SpCnt_121"/>
                  <wp:cNvGraphicFramePr/>
                  <a:graphic xmlns:a="http://schemas.openxmlformats.org/drawingml/2006/main">
                    <a:graphicData uri="http://schemas.openxmlformats.org/drawingml/2006/picture">
                      <pic:pic xmlns:pic="http://schemas.openxmlformats.org/drawingml/2006/picture">
                        <pic:nvPicPr>
                          <pic:cNvPr id="108" name="Text_Box_1780_SpCnt_12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07" name="Text_Box_1780_SpCnt_122"/>
                  <wp:cNvGraphicFramePr/>
                  <a:graphic xmlns:a="http://schemas.openxmlformats.org/drawingml/2006/main">
                    <a:graphicData uri="http://schemas.openxmlformats.org/drawingml/2006/picture">
                      <pic:pic xmlns:pic="http://schemas.openxmlformats.org/drawingml/2006/picture">
                        <pic:nvPicPr>
                          <pic:cNvPr id="107" name="Text_Box_1780_SpCnt_12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30" name="Text_Box_1780_SpCnt_123"/>
                  <wp:cNvGraphicFramePr/>
                  <a:graphic xmlns:a="http://schemas.openxmlformats.org/drawingml/2006/main">
                    <a:graphicData uri="http://schemas.openxmlformats.org/drawingml/2006/picture">
                      <pic:pic xmlns:pic="http://schemas.openxmlformats.org/drawingml/2006/picture">
                        <pic:nvPicPr>
                          <pic:cNvPr id="230" name="Text_Box_1780_SpCnt_12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31" name="Text_Box_1780_SpCnt_124"/>
                  <wp:cNvGraphicFramePr/>
                  <a:graphic xmlns:a="http://schemas.openxmlformats.org/drawingml/2006/main">
                    <a:graphicData uri="http://schemas.openxmlformats.org/drawingml/2006/picture">
                      <pic:pic xmlns:pic="http://schemas.openxmlformats.org/drawingml/2006/picture">
                        <pic:nvPicPr>
                          <pic:cNvPr id="231" name="Text_Box_1780_SpCnt_12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32" name="Text_Box_1780_SpCnt_125"/>
                  <wp:cNvGraphicFramePr/>
                  <a:graphic xmlns:a="http://schemas.openxmlformats.org/drawingml/2006/main">
                    <a:graphicData uri="http://schemas.openxmlformats.org/drawingml/2006/picture">
                      <pic:pic xmlns:pic="http://schemas.openxmlformats.org/drawingml/2006/picture">
                        <pic:nvPicPr>
                          <pic:cNvPr id="232" name="Text_Box_1780_SpCnt_12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 name="Text_Box_1780_SpCnt_126"/>
                  <wp:cNvGraphicFramePr/>
                  <a:graphic xmlns:a="http://schemas.openxmlformats.org/drawingml/2006/main">
                    <a:graphicData uri="http://schemas.openxmlformats.org/drawingml/2006/picture">
                      <pic:pic xmlns:pic="http://schemas.openxmlformats.org/drawingml/2006/picture">
                        <pic:nvPicPr>
                          <pic:cNvPr id="2" name="Text_Box_1780_SpCnt_12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3" name="Text_Box_1780_SpCnt_127"/>
                  <wp:cNvGraphicFramePr/>
                  <a:graphic xmlns:a="http://schemas.openxmlformats.org/drawingml/2006/main">
                    <a:graphicData uri="http://schemas.openxmlformats.org/drawingml/2006/picture">
                      <pic:pic xmlns:pic="http://schemas.openxmlformats.org/drawingml/2006/picture">
                        <pic:nvPicPr>
                          <pic:cNvPr id="3" name="Text_Box_1780_SpCnt_12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4" name="Text_Box_1780_SpCnt_128"/>
                  <wp:cNvGraphicFramePr/>
                  <a:graphic xmlns:a="http://schemas.openxmlformats.org/drawingml/2006/main">
                    <a:graphicData uri="http://schemas.openxmlformats.org/drawingml/2006/picture">
                      <pic:pic xmlns:pic="http://schemas.openxmlformats.org/drawingml/2006/picture">
                        <pic:nvPicPr>
                          <pic:cNvPr id="4" name="Text_Box_1780_SpCnt_12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78" name="Text_Box_1780_SpCnt_129"/>
                  <wp:cNvGraphicFramePr/>
                  <a:graphic xmlns:a="http://schemas.openxmlformats.org/drawingml/2006/main">
                    <a:graphicData uri="http://schemas.openxmlformats.org/drawingml/2006/picture">
                      <pic:pic xmlns:pic="http://schemas.openxmlformats.org/drawingml/2006/picture">
                        <pic:nvPicPr>
                          <pic:cNvPr id="178" name="Text_Box_1780_SpCnt_12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79" name="Text_Box_1780_SpCnt_130"/>
                  <wp:cNvGraphicFramePr/>
                  <a:graphic xmlns:a="http://schemas.openxmlformats.org/drawingml/2006/main">
                    <a:graphicData uri="http://schemas.openxmlformats.org/drawingml/2006/picture">
                      <pic:pic xmlns:pic="http://schemas.openxmlformats.org/drawingml/2006/picture">
                        <pic:nvPicPr>
                          <pic:cNvPr id="179" name="Text_Box_1780_SpCnt_13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77" name="Text_Box_1780_SpCnt_131"/>
                  <wp:cNvGraphicFramePr/>
                  <a:graphic xmlns:a="http://schemas.openxmlformats.org/drawingml/2006/main">
                    <a:graphicData uri="http://schemas.openxmlformats.org/drawingml/2006/picture">
                      <pic:pic xmlns:pic="http://schemas.openxmlformats.org/drawingml/2006/picture">
                        <pic:nvPicPr>
                          <pic:cNvPr id="177" name="Text_Box_1780_SpCnt_13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5" name="Text_Box_1780_SpCnt_132"/>
                  <wp:cNvGraphicFramePr/>
                  <a:graphic xmlns:a="http://schemas.openxmlformats.org/drawingml/2006/main">
                    <a:graphicData uri="http://schemas.openxmlformats.org/drawingml/2006/picture">
                      <pic:pic xmlns:pic="http://schemas.openxmlformats.org/drawingml/2006/picture">
                        <pic:nvPicPr>
                          <pic:cNvPr id="5" name="Text_Box_1780_SpCnt_13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6" name="Text_Box_1780_SpCnt_133"/>
                  <wp:cNvGraphicFramePr/>
                  <a:graphic xmlns:a="http://schemas.openxmlformats.org/drawingml/2006/main">
                    <a:graphicData uri="http://schemas.openxmlformats.org/drawingml/2006/picture">
                      <pic:pic xmlns:pic="http://schemas.openxmlformats.org/drawingml/2006/picture">
                        <pic:nvPicPr>
                          <pic:cNvPr id="6" name="Text_Box_1780_SpCnt_13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43" name="Text_Box_1780_SpCnt_134"/>
                  <wp:cNvGraphicFramePr/>
                  <a:graphic xmlns:a="http://schemas.openxmlformats.org/drawingml/2006/main">
                    <a:graphicData uri="http://schemas.openxmlformats.org/drawingml/2006/picture">
                      <pic:pic xmlns:pic="http://schemas.openxmlformats.org/drawingml/2006/picture">
                        <pic:nvPicPr>
                          <pic:cNvPr id="43" name="Text_Box_1780_SpCnt_13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63" name="Text_Box_1780_SpCnt_135"/>
                  <wp:cNvGraphicFramePr/>
                  <a:graphic xmlns:a="http://schemas.openxmlformats.org/drawingml/2006/main">
                    <a:graphicData uri="http://schemas.openxmlformats.org/drawingml/2006/picture">
                      <pic:pic xmlns:pic="http://schemas.openxmlformats.org/drawingml/2006/picture">
                        <pic:nvPicPr>
                          <pic:cNvPr id="63" name="Text_Box_1780_SpCnt_13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44" name="Text_Box_1780_SpCnt_136"/>
                  <wp:cNvGraphicFramePr/>
                  <a:graphic xmlns:a="http://schemas.openxmlformats.org/drawingml/2006/main">
                    <a:graphicData uri="http://schemas.openxmlformats.org/drawingml/2006/picture">
                      <pic:pic xmlns:pic="http://schemas.openxmlformats.org/drawingml/2006/picture">
                        <pic:nvPicPr>
                          <pic:cNvPr id="44" name="Text_Box_1780_SpCnt_13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54" name="Text_Box_1780_SpCnt_137"/>
                  <wp:cNvGraphicFramePr/>
                  <a:graphic xmlns:a="http://schemas.openxmlformats.org/drawingml/2006/main">
                    <a:graphicData uri="http://schemas.openxmlformats.org/drawingml/2006/picture">
                      <pic:pic xmlns:pic="http://schemas.openxmlformats.org/drawingml/2006/picture">
                        <pic:nvPicPr>
                          <pic:cNvPr id="54" name="Text_Box_1780_SpCnt_13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52" name="Text_Box_1780_SpCnt_138"/>
                  <wp:cNvGraphicFramePr/>
                  <a:graphic xmlns:a="http://schemas.openxmlformats.org/drawingml/2006/main">
                    <a:graphicData uri="http://schemas.openxmlformats.org/drawingml/2006/picture">
                      <pic:pic xmlns:pic="http://schemas.openxmlformats.org/drawingml/2006/picture">
                        <pic:nvPicPr>
                          <pic:cNvPr id="52" name="Text_Box_1780_SpCnt_13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64" name="Text_Box_1780_SpCnt_139"/>
                  <wp:cNvGraphicFramePr/>
                  <a:graphic xmlns:a="http://schemas.openxmlformats.org/drawingml/2006/main">
                    <a:graphicData uri="http://schemas.openxmlformats.org/drawingml/2006/picture">
                      <pic:pic xmlns:pic="http://schemas.openxmlformats.org/drawingml/2006/picture">
                        <pic:nvPicPr>
                          <pic:cNvPr id="64" name="Text_Box_1780_SpCnt_13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67" name="Text_Box_1780_SpCnt_140"/>
                  <wp:cNvGraphicFramePr/>
                  <a:graphic xmlns:a="http://schemas.openxmlformats.org/drawingml/2006/main">
                    <a:graphicData uri="http://schemas.openxmlformats.org/drawingml/2006/picture">
                      <pic:pic xmlns:pic="http://schemas.openxmlformats.org/drawingml/2006/picture">
                        <pic:nvPicPr>
                          <pic:cNvPr id="67" name="Text_Box_1780_SpCnt_14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58" name="Text_Box_1780_SpCnt_141"/>
                  <wp:cNvGraphicFramePr/>
                  <a:graphic xmlns:a="http://schemas.openxmlformats.org/drawingml/2006/main">
                    <a:graphicData uri="http://schemas.openxmlformats.org/drawingml/2006/picture">
                      <pic:pic xmlns:pic="http://schemas.openxmlformats.org/drawingml/2006/picture">
                        <pic:nvPicPr>
                          <pic:cNvPr id="58" name="Text_Box_1780_SpCnt_14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65" name="Text_Box_1780_SpCnt_142"/>
                  <wp:cNvGraphicFramePr/>
                  <a:graphic xmlns:a="http://schemas.openxmlformats.org/drawingml/2006/main">
                    <a:graphicData uri="http://schemas.openxmlformats.org/drawingml/2006/picture">
                      <pic:pic xmlns:pic="http://schemas.openxmlformats.org/drawingml/2006/picture">
                        <pic:nvPicPr>
                          <pic:cNvPr id="65" name="Text_Box_1780_SpCnt_14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45" name="Text_Box_1780_SpCnt_143"/>
                  <wp:cNvGraphicFramePr/>
                  <a:graphic xmlns:a="http://schemas.openxmlformats.org/drawingml/2006/main">
                    <a:graphicData uri="http://schemas.openxmlformats.org/drawingml/2006/picture">
                      <pic:pic xmlns:pic="http://schemas.openxmlformats.org/drawingml/2006/picture">
                        <pic:nvPicPr>
                          <pic:cNvPr id="45" name="Text_Box_1780_SpCnt_14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53" name="Text_Box_1780_SpCnt_144"/>
                  <wp:cNvGraphicFramePr/>
                  <a:graphic xmlns:a="http://schemas.openxmlformats.org/drawingml/2006/main">
                    <a:graphicData uri="http://schemas.openxmlformats.org/drawingml/2006/picture">
                      <pic:pic xmlns:pic="http://schemas.openxmlformats.org/drawingml/2006/picture">
                        <pic:nvPicPr>
                          <pic:cNvPr id="53" name="Text_Box_1780_SpCnt_14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61" name="Text_Box_1780_SpCnt_145"/>
                  <wp:cNvGraphicFramePr/>
                  <a:graphic xmlns:a="http://schemas.openxmlformats.org/drawingml/2006/main">
                    <a:graphicData uri="http://schemas.openxmlformats.org/drawingml/2006/picture">
                      <pic:pic xmlns:pic="http://schemas.openxmlformats.org/drawingml/2006/picture">
                        <pic:nvPicPr>
                          <pic:cNvPr id="61" name="Text_Box_1780_SpCnt_14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38" name="Text_Box_1780_SpCnt_146"/>
                  <wp:cNvGraphicFramePr/>
                  <a:graphic xmlns:a="http://schemas.openxmlformats.org/drawingml/2006/main">
                    <a:graphicData uri="http://schemas.openxmlformats.org/drawingml/2006/picture">
                      <pic:pic xmlns:pic="http://schemas.openxmlformats.org/drawingml/2006/picture">
                        <pic:nvPicPr>
                          <pic:cNvPr id="38" name="Text_Box_1780_SpCnt_14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62" name="Text_Box_1780_SpCnt_147"/>
                  <wp:cNvGraphicFramePr/>
                  <a:graphic xmlns:a="http://schemas.openxmlformats.org/drawingml/2006/main">
                    <a:graphicData uri="http://schemas.openxmlformats.org/drawingml/2006/picture">
                      <pic:pic xmlns:pic="http://schemas.openxmlformats.org/drawingml/2006/picture">
                        <pic:nvPicPr>
                          <pic:cNvPr id="62" name="Text_Box_1780_SpCnt_14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46" name="Text_Box_1780_SpCnt_148"/>
                  <wp:cNvGraphicFramePr/>
                  <a:graphic xmlns:a="http://schemas.openxmlformats.org/drawingml/2006/main">
                    <a:graphicData uri="http://schemas.openxmlformats.org/drawingml/2006/picture">
                      <pic:pic xmlns:pic="http://schemas.openxmlformats.org/drawingml/2006/picture">
                        <pic:nvPicPr>
                          <pic:cNvPr id="46" name="Text_Box_1780_SpCnt_14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55" name="Text_Box_1780_SpCnt_149"/>
                  <wp:cNvGraphicFramePr/>
                  <a:graphic xmlns:a="http://schemas.openxmlformats.org/drawingml/2006/main">
                    <a:graphicData uri="http://schemas.openxmlformats.org/drawingml/2006/picture">
                      <pic:pic xmlns:pic="http://schemas.openxmlformats.org/drawingml/2006/picture">
                        <pic:nvPicPr>
                          <pic:cNvPr id="55" name="Text_Box_1780_SpCnt_14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47" name="Text_Box_1780_SpCnt_150"/>
                  <wp:cNvGraphicFramePr/>
                  <a:graphic xmlns:a="http://schemas.openxmlformats.org/drawingml/2006/main">
                    <a:graphicData uri="http://schemas.openxmlformats.org/drawingml/2006/picture">
                      <pic:pic xmlns:pic="http://schemas.openxmlformats.org/drawingml/2006/picture">
                        <pic:nvPicPr>
                          <pic:cNvPr id="47" name="Text_Box_1780_SpCnt_15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39" name="Text_Box_1780_SpCnt_151"/>
                  <wp:cNvGraphicFramePr/>
                  <a:graphic xmlns:a="http://schemas.openxmlformats.org/drawingml/2006/main">
                    <a:graphicData uri="http://schemas.openxmlformats.org/drawingml/2006/picture">
                      <pic:pic xmlns:pic="http://schemas.openxmlformats.org/drawingml/2006/picture">
                        <pic:nvPicPr>
                          <pic:cNvPr id="39" name="Text_Box_1780_SpCnt_15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59" name="Text_Box_1780_SpCnt_152"/>
                  <wp:cNvGraphicFramePr/>
                  <a:graphic xmlns:a="http://schemas.openxmlformats.org/drawingml/2006/main">
                    <a:graphicData uri="http://schemas.openxmlformats.org/drawingml/2006/picture">
                      <pic:pic xmlns:pic="http://schemas.openxmlformats.org/drawingml/2006/picture">
                        <pic:nvPicPr>
                          <pic:cNvPr id="59" name="Text_Box_1780_SpCnt_15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56" name="Text_Box_1780_SpCnt_153"/>
                  <wp:cNvGraphicFramePr/>
                  <a:graphic xmlns:a="http://schemas.openxmlformats.org/drawingml/2006/main">
                    <a:graphicData uri="http://schemas.openxmlformats.org/drawingml/2006/picture">
                      <pic:pic xmlns:pic="http://schemas.openxmlformats.org/drawingml/2006/picture">
                        <pic:nvPicPr>
                          <pic:cNvPr id="56" name="Text_Box_1780_SpCnt_15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42" name="Text_Box_1780_SpCnt_154"/>
                  <wp:cNvGraphicFramePr/>
                  <a:graphic xmlns:a="http://schemas.openxmlformats.org/drawingml/2006/main">
                    <a:graphicData uri="http://schemas.openxmlformats.org/drawingml/2006/picture">
                      <pic:pic xmlns:pic="http://schemas.openxmlformats.org/drawingml/2006/picture">
                        <pic:nvPicPr>
                          <pic:cNvPr id="42" name="Text_Box_1780_SpCnt_15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60" name="Text_Box_1780_SpCnt_155"/>
                  <wp:cNvGraphicFramePr/>
                  <a:graphic xmlns:a="http://schemas.openxmlformats.org/drawingml/2006/main">
                    <a:graphicData uri="http://schemas.openxmlformats.org/drawingml/2006/picture">
                      <pic:pic xmlns:pic="http://schemas.openxmlformats.org/drawingml/2006/picture">
                        <pic:nvPicPr>
                          <pic:cNvPr id="60" name="Text_Box_1780_SpCnt_15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66" name="Text_Box_1780_SpCnt_156"/>
                  <wp:cNvGraphicFramePr/>
                  <a:graphic xmlns:a="http://schemas.openxmlformats.org/drawingml/2006/main">
                    <a:graphicData uri="http://schemas.openxmlformats.org/drawingml/2006/picture">
                      <pic:pic xmlns:pic="http://schemas.openxmlformats.org/drawingml/2006/picture">
                        <pic:nvPicPr>
                          <pic:cNvPr id="66" name="Text_Box_1780_SpCnt_15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40" name="Text_Box_1780_SpCnt_157"/>
                  <wp:cNvGraphicFramePr/>
                  <a:graphic xmlns:a="http://schemas.openxmlformats.org/drawingml/2006/main">
                    <a:graphicData uri="http://schemas.openxmlformats.org/drawingml/2006/picture">
                      <pic:pic xmlns:pic="http://schemas.openxmlformats.org/drawingml/2006/picture">
                        <pic:nvPicPr>
                          <pic:cNvPr id="40" name="Text_Box_1780_SpCnt_15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48" name="Text_Box_1780_SpCnt_158"/>
                  <wp:cNvGraphicFramePr/>
                  <a:graphic xmlns:a="http://schemas.openxmlformats.org/drawingml/2006/main">
                    <a:graphicData uri="http://schemas.openxmlformats.org/drawingml/2006/picture">
                      <pic:pic xmlns:pic="http://schemas.openxmlformats.org/drawingml/2006/picture">
                        <pic:nvPicPr>
                          <pic:cNvPr id="48" name="Text_Box_1780_SpCnt_15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68" name="Text_Box_1780_SpCnt_159"/>
                  <wp:cNvGraphicFramePr/>
                  <a:graphic xmlns:a="http://schemas.openxmlformats.org/drawingml/2006/main">
                    <a:graphicData uri="http://schemas.openxmlformats.org/drawingml/2006/picture">
                      <pic:pic xmlns:pic="http://schemas.openxmlformats.org/drawingml/2006/picture">
                        <pic:nvPicPr>
                          <pic:cNvPr id="68" name="Text_Box_1780_SpCnt_15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37" name="Text_Box_1780_SpCnt_160"/>
                  <wp:cNvGraphicFramePr/>
                  <a:graphic xmlns:a="http://schemas.openxmlformats.org/drawingml/2006/main">
                    <a:graphicData uri="http://schemas.openxmlformats.org/drawingml/2006/picture">
                      <pic:pic xmlns:pic="http://schemas.openxmlformats.org/drawingml/2006/picture">
                        <pic:nvPicPr>
                          <pic:cNvPr id="37" name="Text_Box_1780_SpCnt_16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41" name="Text_Box_1780_SpCnt_161"/>
                  <wp:cNvGraphicFramePr/>
                  <a:graphic xmlns:a="http://schemas.openxmlformats.org/drawingml/2006/main">
                    <a:graphicData uri="http://schemas.openxmlformats.org/drawingml/2006/picture">
                      <pic:pic xmlns:pic="http://schemas.openxmlformats.org/drawingml/2006/picture">
                        <pic:nvPicPr>
                          <pic:cNvPr id="41" name="Text_Box_1780_SpCnt_16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50" name="Text_Box_1780_SpCnt_162"/>
                  <wp:cNvGraphicFramePr/>
                  <a:graphic xmlns:a="http://schemas.openxmlformats.org/drawingml/2006/main">
                    <a:graphicData uri="http://schemas.openxmlformats.org/drawingml/2006/picture">
                      <pic:pic xmlns:pic="http://schemas.openxmlformats.org/drawingml/2006/picture">
                        <pic:nvPicPr>
                          <pic:cNvPr id="50" name="Text_Box_1780_SpCnt_16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49" name="Text_Box_1780_SpCnt_163"/>
                  <wp:cNvGraphicFramePr/>
                  <a:graphic xmlns:a="http://schemas.openxmlformats.org/drawingml/2006/main">
                    <a:graphicData uri="http://schemas.openxmlformats.org/drawingml/2006/picture">
                      <pic:pic xmlns:pic="http://schemas.openxmlformats.org/drawingml/2006/picture">
                        <pic:nvPicPr>
                          <pic:cNvPr id="49" name="Text_Box_1780_SpCnt_16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51" name="Text_Box_1780_SpCnt_164"/>
                  <wp:cNvGraphicFramePr/>
                  <a:graphic xmlns:a="http://schemas.openxmlformats.org/drawingml/2006/main">
                    <a:graphicData uri="http://schemas.openxmlformats.org/drawingml/2006/picture">
                      <pic:pic xmlns:pic="http://schemas.openxmlformats.org/drawingml/2006/picture">
                        <pic:nvPicPr>
                          <pic:cNvPr id="51" name="Text_Box_1780_SpCnt_16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57" name="Text_Box_1780_SpCnt_165"/>
                  <wp:cNvGraphicFramePr/>
                  <a:graphic xmlns:a="http://schemas.openxmlformats.org/drawingml/2006/main">
                    <a:graphicData uri="http://schemas.openxmlformats.org/drawingml/2006/picture">
                      <pic:pic xmlns:pic="http://schemas.openxmlformats.org/drawingml/2006/picture">
                        <pic:nvPicPr>
                          <pic:cNvPr id="57" name="Text_Box_1780_SpCnt_16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98" name="Text_Box_1780_SpCnt_166"/>
                  <wp:cNvGraphicFramePr/>
                  <a:graphic xmlns:a="http://schemas.openxmlformats.org/drawingml/2006/main">
                    <a:graphicData uri="http://schemas.openxmlformats.org/drawingml/2006/picture">
                      <pic:pic xmlns:pic="http://schemas.openxmlformats.org/drawingml/2006/picture">
                        <pic:nvPicPr>
                          <pic:cNvPr id="98" name="Text_Box_1780_SpCnt_16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83" name="Text_Box_1780_SpCnt_167"/>
                  <wp:cNvGraphicFramePr/>
                  <a:graphic xmlns:a="http://schemas.openxmlformats.org/drawingml/2006/main">
                    <a:graphicData uri="http://schemas.openxmlformats.org/drawingml/2006/picture">
                      <pic:pic xmlns:pic="http://schemas.openxmlformats.org/drawingml/2006/picture">
                        <pic:nvPicPr>
                          <pic:cNvPr id="83" name="Text_Box_1780_SpCnt_16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80" name="Text_Box_1780_SpCnt_168"/>
                  <wp:cNvGraphicFramePr/>
                  <a:graphic xmlns:a="http://schemas.openxmlformats.org/drawingml/2006/main">
                    <a:graphicData uri="http://schemas.openxmlformats.org/drawingml/2006/picture">
                      <pic:pic xmlns:pic="http://schemas.openxmlformats.org/drawingml/2006/picture">
                        <pic:nvPicPr>
                          <pic:cNvPr id="80" name="Text_Box_1780_SpCnt_16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92" name="Text_Box_1780_SpCnt_169"/>
                  <wp:cNvGraphicFramePr/>
                  <a:graphic xmlns:a="http://schemas.openxmlformats.org/drawingml/2006/main">
                    <a:graphicData uri="http://schemas.openxmlformats.org/drawingml/2006/picture">
                      <pic:pic xmlns:pic="http://schemas.openxmlformats.org/drawingml/2006/picture">
                        <pic:nvPicPr>
                          <pic:cNvPr id="92" name="Text_Box_1780_SpCnt_16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93" name="Text_Box_1780_SpCnt_170"/>
                  <wp:cNvGraphicFramePr/>
                  <a:graphic xmlns:a="http://schemas.openxmlformats.org/drawingml/2006/main">
                    <a:graphicData uri="http://schemas.openxmlformats.org/drawingml/2006/picture">
                      <pic:pic xmlns:pic="http://schemas.openxmlformats.org/drawingml/2006/picture">
                        <pic:nvPicPr>
                          <pic:cNvPr id="93" name="Text_Box_1780_SpCnt_17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91" name="Text_Box_1780_SpCnt_171"/>
                  <wp:cNvGraphicFramePr/>
                  <a:graphic xmlns:a="http://schemas.openxmlformats.org/drawingml/2006/main">
                    <a:graphicData uri="http://schemas.openxmlformats.org/drawingml/2006/picture">
                      <pic:pic xmlns:pic="http://schemas.openxmlformats.org/drawingml/2006/picture">
                        <pic:nvPicPr>
                          <pic:cNvPr id="91" name="Text_Box_1780_SpCnt_17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90" name="Text_Box_1780_SpCnt_172"/>
                  <wp:cNvGraphicFramePr/>
                  <a:graphic xmlns:a="http://schemas.openxmlformats.org/drawingml/2006/main">
                    <a:graphicData uri="http://schemas.openxmlformats.org/drawingml/2006/picture">
                      <pic:pic xmlns:pic="http://schemas.openxmlformats.org/drawingml/2006/picture">
                        <pic:nvPicPr>
                          <pic:cNvPr id="90" name="Text_Box_1780_SpCnt_17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96" name="Text_Box_1780_SpCnt_173"/>
                  <wp:cNvGraphicFramePr/>
                  <a:graphic xmlns:a="http://schemas.openxmlformats.org/drawingml/2006/main">
                    <a:graphicData uri="http://schemas.openxmlformats.org/drawingml/2006/picture">
                      <pic:pic xmlns:pic="http://schemas.openxmlformats.org/drawingml/2006/picture">
                        <pic:nvPicPr>
                          <pic:cNvPr id="96" name="Text_Box_1780_SpCnt_17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78" name="Text_Box_1780_SpCnt_174"/>
                  <wp:cNvGraphicFramePr/>
                  <a:graphic xmlns:a="http://schemas.openxmlformats.org/drawingml/2006/main">
                    <a:graphicData uri="http://schemas.openxmlformats.org/drawingml/2006/picture">
                      <pic:pic xmlns:pic="http://schemas.openxmlformats.org/drawingml/2006/picture">
                        <pic:nvPicPr>
                          <pic:cNvPr id="78" name="Text_Box_1780_SpCnt_17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70" name="Text_Box_1780_SpCnt_175"/>
                  <wp:cNvGraphicFramePr/>
                  <a:graphic xmlns:a="http://schemas.openxmlformats.org/drawingml/2006/main">
                    <a:graphicData uri="http://schemas.openxmlformats.org/drawingml/2006/picture">
                      <pic:pic xmlns:pic="http://schemas.openxmlformats.org/drawingml/2006/picture">
                        <pic:nvPicPr>
                          <pic:cNvPr id="70" name="Text_Box_1780_SpCnt_17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97" name="Text_Box_1780_SpCnt_176"/>
                  <wp:cNvGraphicFramePr/>
                  <a:graphic xmlns:a="http://schemas.openxmlformats.org/drawingml/2006/main">
                    <a:graphicData uri="http://schemas.openxmlformats.org/drawingml/2006/picture">
                      <pic:pic xmlns:pic="http://schemas.openxmlformats.org/drawingml/2006/picture">
                        <pic:nvPicPr>
                          <pic:cNvPr id="97" name="Text_Box_1780_SpCnt_17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76" name="Text_Box_1780_SpCnt_177"/>
                  <wp:cNvGraphicFramePr/>
                  <a:graphic xmlns:a="http://schemas.openxmlformats.org/drawingml/2006/main">
                    <a:graphicData uri="http://schemas.openxmlformats.org/drawingml/2006/picture">
                      <pic:pic xmlns:pic="http://schemas.openxmlformats.org/drawingml/2006/picture">
                        <pic:nvPicPr>
                          <pic:cNvPr id="76" name="Text_Box_1780_SpCnt_17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73" name="Text_Box_1780_SpCnt_178"/>
                  <wp:cNvGraphicFramePr/>
                  <a:graphic xmlns:a="http://schemas.openxmlformats.org/drawingml/2006/main">
                    <a:graphicData uri="http://schemas.openxmlformats.org/drawingml/2006/picture">
                      <pic:pic xmlns:pic="http://schemas.openxmlformats.org/drawingml/2006/picture">
                        <pic:nvPicPr>
                          <pic:cNvPr id="73" name="Text_Box_1780_SpCnt_17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94" name="Text_Box_1780_SpCnt_179"/>
                  <wp:cNvGraphicFramePr/>
                  <a:graphic xmlns:a="http://schemas.openxmlformats.org/drawingml/2006/main">
                    <a:graphicData uri="http://schemas.openxmlformats.org/drawingml/2006/picture">
                      <pic:pic xmlns:pic="http://schemas.openxmlformats.org/drawingml/2006/picture">
                        <pic:nvPicPr>
                          <pic:cNvPr id="94" name="Text_Box_1780_SpCnt_17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87" name="Text_Box_1780_SpCnt_180"/>
                  <wp:cNvGraphicFramePr/>
                  <a:graphic xmlns:a="http://schemas.openxmlformats.org/drawingml/2006/main">
                    <a:graphicData uri="http://schemas.openxmlformats.org/drawingml/2006/picture">
                      <pic:pic xmlns:pic="http://schemas.openxmlformats.org/drawingml/2006/picture">
                        <pic:nvPicPr>
                          <pic:cNvPr id="87" name="Text_Box_1780_SpCnt_18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88" name="Text_Box_1780_SpCnt_181"/>
                  <wp:cNvGraphicFramePr/>
                  <a:graphic xmlns:a="http://schemas.openxmlformats.org/drawingml/2006/main">
                    <a:graphicData uri="http://schemas.openxmlformats.org/drawingml/2006/picture">
                      <pic:pic xmlns:pic="http://schemas.openxmlformats.org/drawingml/2006/picture">
                        <pic:nvPicPr>
                          <pic:cNvPr id="88" name="Text_Box_1780_SpCnt_18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74" name="Text_Box_1780_SpCnt_182"/>
                  <wp:cNvGraphicFramePr/>
                  <a:graphic xmlns:a="http://schemas.openxmlformats.org/drawingml/2006/main">
                    <a:graphicData uri="http://schemas.openxmlformats.org/drawingml/2006/picture">
                      <pic:pic xmlns:pic="http://schemas.openxmlformats.org/drawingml/2006/picture">
                        <pic:nvPicPr>
                          <pic:cNvPr id="74" name="Text_Box_1780_SpCnt_18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84" name="Text_Box_1780_SpCnt_183"/>
                  <wp:cNvGraphicFramePr/>
                  <a:graphic xmlns:a="http://schemas.openxmlformats.org/drawingml/2006/main">
                    <a:graphicData uri="http://schemas.openxmlformats.org/drawingml/2006/picture">
                      <pic:pic xmlns:pic="http://schemas.openxmlformats.org/drawingml/2006/picture">
                        <pic:nvPicPr>
                          <pic:cNvPr id="84" name="Text_Box_1780_SpCnt_18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95" name="Text_Box_1780_SpCnt_184"/>
                  <wp:cNvGraphicFramePr/>
                  <a:graphic xmlns:a="http://schemas.openxmlformats.org/drawingml/2006/main">
                    <a:graphicData uri="http://schemas.openxmlformats.org/drawingml/2006/picture">
                      <pic:pic xmlns:pic="http://schemas.openxmlformats.org/drawingml/2006/picture">
                        <pic:nvPicPr>
                          <pic:cNvPr id="95" name="Text_Box_1780_SpCnt_18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75" name="Text_Box_1780_SpCnt_185"/>
                  <wp:cNvGraphicFramePr/>
                  <a:graphic xmlns:a="http://schemas.openxmlformats.org/drawingml/2006/main">
                    <a:graphicData uri="http://schemas.openxmlformats.org/drawingml/2006/picture">
                      <pic:pic xmlns:pic="http://schemas.openxmlformats.org/drawingml/2006/picture">
                        <pic:nvPicPr>
                          <pic:cNvPr id="75" name="Text_Box_1780_SpCnt_18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77" name="Text_Box_1780_SpCnt_186"/>
                  <wp:cNvGraphicFramePr/>
                  <a:graphic xmlns:a="http://schemas.openxmlformats.org/drawingml/2006/main">
                    <a:graphicData uri="http://schemas.openxmlformats.org/drawingml/2006/picture">
                      <pic:pic xmlns:pic="http://schemas.openxmlformats.org/drawingml/2006/picture">
                        <pic:nvPicPr>
                          <pic:cNvPr id="77" name="Text_Box_1780_SpCnt_18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99" name="Text_Box_1780_SpCnt_187"/>
                  <wp:cNvGraphicFramePr/>
                  <a:graphic xmlns:a="http://schemas.openxmlformats.org/drawingml/2006/main">
                    <a:graphicData uri="http://schemas.openxmlformats.org/drawingml/2006/picture">
                      <pic:pic xmlns:pic="http://schemas.openxmlformats.org/drawingml/2006/picture">
                        <pic:nvPicPr>
                          <pic:cNvPr id="99" name="Text_Box_1780_SpCnt_18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79" name="Text_Box_1780_SpCnt_188"/>
                  <wp:cNvGraphicFramePr/>
                  <a:graphic xmlns:a="http://schemas.openxmlformats.org/drawingml/2006/main">
                    <a:graphicData uri="http://schemas.openxmlformats.org/drawingml/2006/picture">
                      <pic:pic xmlns:pic="http://schemas.openxmlformats.org/drawingml/2006/picture">
                        <pic:nvPicPr>
                          <pic:cNvPr id="79" name="Text_Box_1780_SpCnt_18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81" name="Text_Box_1780_SpCnt_189"/>
                  <wp:cNvGraphicFramePr/>
                  <a:graphic xmlns:a="http://schemas.openxmlformats.org/drawingml/2006/main">
                    <a:graphicData uri="http://schemas.openxmlformats.org/drawingml/2006/picture">
                      <pic:pic xmlns:pic="http://schemas.openxmlformats.org/drawingml/2006/picture">
                        <pic:nvPicPr>
                          <pic:cNvPr id="81" name="Text_Box_1780_SpCnt_18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71" name="Text_Box_1780_SpCnt_190"/>
                  <wp:cNvGraphicFramePr/>
                  <a:graphic xmlns:a="http://schemas.openxmlformats.org/drawingml/2006/main">
                    <a:graphicData uri="http://schemas.openxmlformats.org/drawingml/2006/picture">
                      <pic:pic xmlns:pic="http://schemas.openxmlformats.org/drawingml/2006/picture">
                        <pic:nvPicPr>
                          <pic:cNvPr id="71" name="Text_Box_1780_SpCnt_19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00" name="Text_Box_1780_SpCnt_191"/>
                  <wp:cNvGraphicFramePr/>
                  <a:graphic xmlns:a="http://schemas.openxmlformats.org/drawingml/2006/main">
                    <a:graphicData uri="http://schemas.openxmlformats.org/drawingml/2006/picture">
                      <pic:pic xmlns:pic="http://schemas.openxmlformats.org/drawingml/2006/picture">
                        <pic:nvPicPr>
                          <pic:cNvPr id="100" name="Text_Box_1780_SpCnt_19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69" name="Text_Box_1780_SpCnt_192"/>
                  <wp:cNvGraphicFramePr/>
                  <a:graphic xmlns:a="http://schemas.openxmlformats.org/drawingml/2006/main">
                    <a:graphicData uri="http://schemas.openxmlformats.org/drawingml/2006/picture">
                      <pic:pic xmlns:pic="http://schemas.openxmlformats.org/drawingml/2006/picture">
                        <pic:nvPicPr>
                          <pic:cNvPr id="69" name="Text_Box_1780_SpCnt_19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82" name="Text_Box_1780_SpCnt_193"/>
                  <wp:cNvGraphicFramePr/>
                  <a:graphic xmlns:a="http://schemas.openxmlformats.org/drawingml/2006/main">
                    <a:graphicData uri="http://schemas.openxmlformats.org/drawingml/2006/picture">
                      <pic:pic xmlns:pic="http://schemas.openxmlformats.org/drawingml/2006/picture">
                        <pic:nvPicPr>
                          <pic:cNvPr id="82" name="Text_Box_1780_SpCnt_19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72" name="Text_Box_1780_SpCnt_194"/>
                  <wp:cNvGraphicFramePr/>
                  <a:graphic xmlns:a="http://schemas.openxmlformats.org/drawingml/2006/main">
                    <a:graphicData uri="http://schemas.openxmlformats.org/drawingml/2006/picture">
                      <pic:pic xmlns:pic="http://schemas.openxmlformats.org/drawingml/2006/picture">
                        <pic:nvPicPr>
                          <pic:cNvPr id="72" name="Text_Box_1780_SpCnt_19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86" name="Text_Box_1780_SpCnt_195"/>
                  <wp:cNvGraphicFramePr/>
                  <a:graphic xmlns:a="http://schemas.openxmlformats.org/drawingml/2006/main">
                    <a:graphicData uri="http://schemas.openxmlformats.org/drawingml/2006/picture">
                      <pic:pic xmlns:pic="http://schemas.openxmlformats.org/drawingml/2006/picture">
                        <pic:nvPicPr>
                          <pic:cNvPr id="86" name="Text_Box_1780_SpCnt_19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85" name="Text_Box_1780_SpCnt_196"/>
                  <wp:cNvGraphicFramePr/>
                  <a:graphic xmlns:a="http://schemas.openxmlformats.org/drawingml/2006/main">
                    <a:graphicData uri="http://schemas.openxmlformats.org/drawingml/2006/picture">
                      <pic:pic xmlns:pic="http://schemas.openxmlformats.org/drawingml/2006/picture">
                        <pic:nvPicPr>
                          <pic:cNvPr id="85" name="Text_Box_1780_SpCnt_19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89" name="Text_Box_1780_SpCnt_197"/>
                  <wp:cNvGraphicFramePr/>
                  <a:graphic xmlns:a="http://schemas.openxmlformats.org/drawingml/2006/main">
                    <a:graphicData uri="http://schemas.openxmlformats.org/drawingml/2006/picture">
                      <pic:pic xmlns:pic="http://schemas.openxmlformats.org/drawingml/2006/picture">
                        <pic:nvPicPr>
                          <pic:cNvPr id="89" name="Text_Box_1780_SpCnt_19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01" name="Text_Box_1780_SpCnt_198"/>
                  <wp:cNvGraphicFramePr/>
                  <a:graphic xmlns:a="http://schemas.openxmlformats.org/drawingml/2006/main">
                    <a:graphicData uri="http://schemas.openxmlformats.org/drawingml/2006/picture">
                      <pic:pic xmlns:pic="http://schemas.openxmlformats.org/drawingml/2006/picture">
                        <pic:nvPicPr>
                          <pic:cNvPr id="101" name="Text_Box_1780_SpCnt_19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03" name="Text_Box_1780_SpCnt_199"/>
                  <wp:cNvGraphicFramePr/>
                  <a:graphic xmlns:a="http://schemas.openxmlformats.org/drawingml/2006/main">
                    <a:graphicData uri="http://schemas.openxmlformats.org/drawingml/2006/picture">
                      <pic:pic xmlns:pic="http://schemas.openxmlformats.org/drawingml/2006/picture">
                        <pic:nvPicPr>
                          <pic:cNvPr id="103" name="Text_Box_1780_SpCnt_19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02" name="Text_Box_1780_SpCnt_200"/>
                  <wp:cNvGraphicFramePr/>
                  <a:graphic xmlns:a="http://schemas.openxmlformats.org/drawingml/2006/main">
                    <a:graphicData uri="http://schemas.openxmlformats.org/drawingml/2006/picture">
                      <pic:pic xmlns:pic="http://schemas.openxmlformats.org/drawingml/2006/picture">
                        <pic:nvPicPr>
                          <pic:cNvPr id="102" name="Text_Box_1780_SpCnt_20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3" name="Text_Box_1780_SpCnt_201"/>
                  <wp:cNvGraphicFramePr/>
                  <a:graphic xmlns:a="http://schemas.openxmlformats.org/drawingml/2006/main">
                    <a:graphicData uri="http://schemas.openxmlformats.org/drawingml/2006/picture">
                      <pic:pic xmlns:pic="http://schemas.openxmlformats.org/drawingml/2006/picture">
                        <pic:nvPicPr>
                          <pic:cNvPr id="13" name="Text_Box_1780_SpCnt_20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8" name="Text_Box_1780_SpCnt_202"/>
                  <wp:cNvGraphicFramePr/>
                  <a:graphic xmlns:a="http://schemas.openxmlformats.org/drawingml/2006/main">
                    <a:graphicData uri="http://schemas.openxmlformats.org/drawingml/2006/picture">
                      <pic:pic xmlns:pic="http://schemas.openxmlformats.org/drawingml/2006/picture">
                        <pic:nvPicPr>
                          <pic:cNvPr id="28" name="Text_Box_1780_SpCnt_20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5" name="Text_Box_1780_SpCnt_203"/>
                  <wp:cNvGraphicFramePr/>
                  <a:graphic xmlns:a="http://schemas.openxmlformats.org/drawingml/2006/main">
                    <a:graphicData uri="http://schemas.openxmlformats.org/drawingml/2006/picture">
                      <pic:pic xmlns:pic="http://schemas.openxmlformats.org/drawingml/2006/picture">
                        <pic:nvPicPr>
                          <pic:cNvPr id="25" name="Text_Box_1780_SpCnt_20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35" name="Text_Box_1780_SpCnt_204"/>
                  <wp:cNvGraphicFramePr/>
                  <a:graphic xmlns:a="http://schemas.openxmlformats.org/drawingml/2006/main">
                    <a:graphicData uri="http://schemas.openxmlformats.org/drawingml/2006/picture">
                      <pic:pic xmlns:pic="http://schemas.openxmlformats.org/drawingml/2006/picture">
                        <pic:nvPicPr>
                          <pic:cNvPr id="35" name="Text_Box_1780_SpCnt_20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0" name="Text_Box_1780_SpCnt_205"/>
                  <wp:cNvGraphicFramePr/>
                  <a:graphic xmlns:a="http://schemas.openxmlformats.org/drawingml/2006/main">
                    <a:graphicData uri="http://schemas.openxmlformats.org/drawingml/2006/picture">
                      <pic:pic xmlns:pic="http://schemas.openxmlformats.org/drawingml/2006/picture">
                        <pic:nvPicPr>
                          <pic:cNvPr id="10" name="Text_Box_1780_SpCnt_20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6" name="Text_Box_1780_SpCnt_206"/>
                  <wp:cNvGraphicFramePr/>
                  <a:graphic xmlns:a="http://schemas.openxmlformats.org/drawingml/2006/main">
                    <a:graphicData uri="http://schemas.openxmlformats.org/drawingml/2006/picture">
                      <pic:pic xmlns:pic="http://schemas.openxmlformats.org/drawingml/2006/picture">
                        <pic:nvPicPr>
                          <pic:cNvPr id="26" name="Text_Box_1780_SpCnt_20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7" name="Text_Box_1780_SpCnt_207"/>
                  <wp:cNvGraphicFramePr/>
                  <a:graphic xmlns:a="http://schemas.openxmlformats.org/drawingml/2006/main">
                    <a:graphicData uri="http://schemas.openxmlformats.org/drawingml/2006/picture">
                      <pic:pic xmlns:pic="http://schemas.openxmlformats.org/drawingml/2006/picture">
                        <pic:nvPicPr>
                          <pic:cNvPr id="27" name="Text_Box_1780_SpCnt_20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33" name="Text_Box_1780_SpCnt_208"/>
                  <wp:cNvGraphicFramePr/>
                  <a:graphic xmlns:a="http://schemas.openxmlformats.org/drawingml/2006/main">
                    <a:graphicData uri="http://schemas.openxmlformats.org/drawingml/2006/picture">
                      <pic:pic xmlns:pic="http://schemas.openxmlformats.org/drawingml/2006/picture">
                        <pic:nvPicPr>
                          <pic:cNvPr id="33" name="Text_Box_1780_SpCnt_20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1" name="Text_Box_1780_SpCnt_209"/>
                  <wp:cNvGraphicFramePr/>
                  <a:graphic xmlns:a="http://schemas.openxmlformats.org/drawingml/2006/main">
                    <a:graphicData uri="http://schemas.openxmlformats.org/drawingml/2006/picture">
                      <pic:pic xmlns:pic="http://schemas.openxmlformats.org/drawingml/2006/picture">
                        <pic:nvPicPr>
                          <pic:cNvPr id="11" name="Text_Box_1780_SpCnt_20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9" name="Text_Box_1780_SpCnt_210"/>
                  <wp:cNvGraphicFramePr/>
                  <a:graphic xmlns:a="http://schemas.openxmlformats.org/drawingml/2006/main">
                    <a:graphicData uri="http://schemas.openxmlformats.org/drawingml/2006/picture">
                      <pic:pic xmlns:pic="http://schemas.openxmlformats.org/drawingml/2006/picture">
                        <pic:nvPicPr>
                          <pic:cNvPr id="9" name="Text_Box_1780_SpCnt_21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4" name="Text_Box_1780_SpCnt_211"/>
                  <wp:cNvGraphicFramePr/>
                  <a:graphic xmlns:a="http://schemas.openxmlformats.org/drawingml/2006/main">
                    <a:graphicData uri="http://schemas.openxmlformats.org/drawingml/2006/picture">
                      <pic:pic xmlns:pic="http://schemas.openxmlformats.org/drawingml/2006/picture">
                        <pic:nvPicPr>
                          <pic:cNvPr id="24" name="Text_Box_1780_SpCnt_21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7" name="Text_Box_1780_SpCnt_212"/>
                  <wp:cNvGraphicFramePr/>
                  <a:graphic xmlns:a="http://schemas.openxmlformats.org/drawingml/2006/main">
                    <a:graphicData uri="http://schemas.openxmlformats.org/drawingml/2006/picture">
                      <pic:pic xmlns:pic="http://schemas.openxmlformats.org/drawingml/2006/picture">
                        <pic:nvPicPr>
                          <pic:cNvPr id="17" name="Text_Box_1780_SpCnt_21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7" name="Text_Box_1780_SpCnt_213"/>
                  <wp:cNvGraphicFramePr/>
                  <a:graphic xmlns:a="http://schemas.openxmlformats.org/drawingml/2006/main">
                    <a:graphicData uri="http://schemas.openxmlformats.org/drawingml/2006/picture">
                      <pic:pic xmlns:pic="http://schemas.openxmlformats.org/drawingml/2006/picture">
                        <pic:nvPicPr>
                          <pic:cNvPr id="7" name="Text_Box_1780_SpCnt_21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8" name="Text_Box_1780_SpCnt_214"/>
                  <wp:cNvGraphicFramePr/>
                  <a:graphic xmlns:a="http://schemas.openxmlformats.org/drawingml/2006/main">
                    <a:graphicData uri="http://schemas.openxmlformats.org/drawingml/2006/picture">
                      <pic:pic xmlns:pic="http://schemas.openxmlformats.org/drawingml/2006/picture">
                        <pic:nvPicPr>
                          <pic:cNvPr id="8" name="Text_Box_1780_SpCnt_21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9" name="Text_Box_1780_SpCnt_215"/>
                  <wp:cNvGraphicFramePr/>
                  <a:graphic xmlns:a="http://schemas.openxmlformats.org/drawingml/2006/main">
                    <a:graphicData uri="http://schemas.openxmlformats.org/drawingml/2006/picture">
                      <pic:pic xmlns:pic="http://schemas.openxmlformats.org/drawingml/2006/picture">
                        <pic:nvPicPr>
                          <pic:cNvPr id="29" name="Text_Box_1780_SpCnt_21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30" name="Text_Box_1780_SpCnt_216"/>
                  <wp:cNvGraphicFramePr/>
                  <a:graphic xmlns:a="http://schemas.openxmlformats.org/drawingml/2006/main">
                    <a:graphicData uri="http://schemas.openxmlformats.org/drawingml/2006/picture">
                      <pic:pic xmlns:pic="http://schemas.openxmlformats.org/drawingml/2006/picture">
                        <pic:nvPicPr>
                          <pic:cNvPr id="30" name="Text_Box_1780_SpCnt_21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2" name="Text_Box_1780_SpCnt_217"/>
                  <wp:cNvGraphicFramePr/>
                  <a:graphic xmlns:a="http://schemas.openxmlformats.org/drawingml/2006/main">
                    <a:graphicData uri="http://schemas.openxmlformats.org/drawingml/2006/picture">
                      <pic:pic xmlns:pic="http://schemas.openxmlformats.org/drawingml/2006/picture">
                        <pic:nvPicPr>
                          <pic:cNvPr id="12" name="Text_Box_1780_SpCnt_21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4" name="Text_Box_1780_SpCnt_218"/>
                  <wp:cNvGraphicFramePr/>
                  <a:graphic xmlns:a="http://schemas.openxmlformats.org/drawingml/2006/main">
                    <a:graphicData uri="http://schemas.openxmlformats.org/drawingml/2006/picture">
                      <pic:pic xmlns:pic="http://schemas.openxmlformats.org/drawingml/2006/picture">
                        <pic:nvPicPr>
                          <pic:cNvPr id="14" name="Text_Box_1780_SpCnt_21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9" name="Text_Box_1780_SpCnt_219"/>
                  <wp:cNvGraphicFramePr/>
                  <a:graphic xmlns:a="http://schemas.openxmlformats.org/drawingml/2006/main">
                    <a:graphicData uri="http://schemas.openxmlformats.org/drawingml/2006/picture">
                      <pic:pic xmlns:pic="http://schemas.openxmlformats.org/drawingml/2006/picture">
                        <pic:nvPicPr>
                          <pic:cNvPr id="19" name="Text_Box_1780_SpCnt_21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5" name="Text_Box_1780_SpCnt_220"/>
                  <wp:cNvGraphicFramePr/>
                  <a:graphic xmlns:a="http://schemas.openxmlformats.org/drawingml/2006/main">
                    <a:graphicData uri="http://schemas.openxmlformats.org/drawingml/2006/picture">
                      <pic:pic xmlns:pic="http://schemas.openxmlformats.org/drawingml/2006/picture">
                        <pic:nvPicPr>
                          <pic:cNvPr id="15" name="Text_Box_1780_SpCnt_22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6" name="Text_Box_1780_SpCnt_221"/>
                  <wp:cNvGraphicFramePr/>
                  <a:graphic xmlns:a="http://schemas.openxmlformats.org/drawingml/2006/main">
                    <a:graphicData uri="http://schemas.openxmlformats.org/drawingml/2006/picture">
                      <pic:pic xmlns:pic="http://schemas.openxmlformats.org/drawingml/2006/picture">
                        <pic:nvPicPr>
                          <pic:cNvPr id="16" name="Text_Box_1780_SpCnt_22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18" name="Text_Box_1780_SpCnt_222"/>
                  <wp:cNvGraphicFramePr/>
                  <a:graphic xmlns:a="http://schemas.openxmlformats.org/drawingml/2006/main">
                    <a:graphicData uri="http://schemas.openxmlformats.org/drawingml/2006/picture">
                      <pic:pic xmlns:pic="http://schemas.openxmlformats.org/drawingml/2006/picture">
                        <pic:nvPicPr>
                          <pic:cNvPr id="18" name="Text_Box_1780_SpCnt_222"/>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36" name="Text_Box_1780_SpCnt_223"/>
                  <wp:cNvGraphicFramePr/>
                  <a:graphic xmlns:a="http://schemas.openxmlformats.org/drawingml/2006/main">
                    <a:graphicData uri="http://schemas.openxmlformats.org/drawingml/2006/picture">
                      <pic:pic xmlns:pic="http://schemas.openxmlformats.org/drawingml/2006/picture">
                        <pic:nvPicPr>
                          <pic:cNvPr id="36" name="Text_Box_1780_SpCnt_223"/>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1" name="Text_Box_1780_SpCnt_224"/>
                  <wp:cNvGraphicFramePr/>
                  <a:graphic xmlns:a="http://schemas.openxmlformats.org/drawingml/2006/main">
                    <a:graphicData uri="http://schemas.openxmlformats.org/drawingml/2006/picture">
                      <pic:pic xmlns:pic="http://schemas.openxmlformats.org/drawingml/2006/picture">
                        <pic:nvPicPr>
                          <pic:cNvPr id="21" name="Text_Box_1780_SpCnt_224"/>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2" name="Text_Box_1780_SpCnt_225"/>
                  <wp:cNvGraphicFramePr/>
                  <a:graphic xmlns:a="http://schemas.openxmlformats.org/drawingml/2006/main">
                    <a:graphicData uri="http://schemas.openxmlformats.org/drawingml/2006/picture">
                      <pic:pic xmlns:pic="http://schemas.openxmlformats.org/drawingml/2006/picture">
                        <pic:nvPicPr>
                          <pic:cNvPr id="22" name="Text_Box_1780_SpCnt_225"/>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3" name="Text_Box_1780_SpCnt_226"/>
                  <wp:cNvGraphicFramePr/>
                  <a:graphic xmlns:a="http://schemas.openxmlformats.org/drawingml/2006/main">
                    <a:graphicData uri="http://schemas.openxmlformats.org/drawingml/2006/picture">
                      <pic:pic xmlns:pic="http://schemas.openxmlformats.org/drawingml/2006/picture">
                        <pic:nvPicPr>
                          <pic:cNvPr id="23" name="Text_Box_1780_SpCnt_226"/>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34" name="Text_Box_1780_SpCnt_227"/>
                  <wp:cNvGraphicFramePr/>
                  <a:graphic xmlns:a="http://schemas.openxmlformats.org/drawingml/2006/main">
                    <a:graphicData uri="http://schemas.openxmlformats.org/drawingml/2006/picture">
                      <pic:pic xmlns:pic="http://schemas.openxmlformats.org/drawingml/2006/picture">
                        <pic:nvPicPr>
                          <pic:cNvPr id="34" name="Text_Box_1780_SpCnt_227"/>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31" name="Text_Box_1780_SpCnt_228"/>
                  <wp:cNvGraphicFramePr/>
                  <a:graphic xmlns:a="http://schemas.openxmlformats.org/drawingml/2006/main">
                    <a:graphicData uri="http://schemas.openxmlformats.org/drawingml/2006/picture">
                      <pic:pic xmlns:pic="http://schemas.openxmlformats.org/drawingml/2006/picture">
                        <pic:nvPicPr>
                          <pic:cNvPr id="31" name="Text_Box_1780_SpCnt_228"/>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32" name="Text_Box_1780_SpCnt_229"/>
                  <wp:cNvGraphicFramePr/>
                  <a:graphic xmlns:a="http://schemas.openxmlformats.org/drawingml/2006/main">
                    <a:graphicData uri="http://schemas.openxmlformats.org/drawingml/2006/picture">
                      <pic:pic xmlns:pic="http://schemas.openxmlformats.org/drawingml/2006/picture">
                        <pic:nvPicPr>
                          <pic:cNvPr id="32" name="Text_Box_1780_SpCnt_229"/>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33" name="Text_Box_1780_SpCnt_230"/>
                  <wp:cNvGraphicFramePr/>
                  <a:graphic xmlns:a="http://schemas.openxmlformats.org/drawingml/2006/main">
                    <a:graphicData uri="http://schemas.openxmlformats.org/drawingml/2006/picture">
                      <pic:pic xmlns:pic="http://schemas.openxmlformats.org/drawingml/2006/picture">
                        <pic:nvPicPr>
                          <pic:cNvPr id="233" name="Text_Box_1780_SpCnt_230"/>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86995" cy="168910"/>
                  <wp:effectExtent l="0" t="0" r="0" b="0"/>
                  <wp:wrapNone/>
                  <wp:docPr id="234" name="Text_Box_1780_SpCnt_231"/>
                  <wp:cNvGraphicFramePr/>
                  <a:graphic xmlns:a="http://schemas.openxmlformats.org/drawingml/2006/main">
                    <a:graphicData uri="http://schemas.openxmlformats.org/drawingml/2006/picture">
                      <pic:pic xmlns:pic="http://schemas.openxmlformats.org/drawingml/2006/picture">
                        <pic:nvPicPr>
                          <pic:cNvPr id="234" name="Text_Box_1780_SpCnt_231"/>
                          <pic:cNvPicPr/>
                        </pic:nvPicPr>
                        <pic:blipFill>
                          <a:blip r:embed="rId5"/>
                          <a:stretch>
                            <a:fillRect/>
                          </a:stretch>
                        </pic:blipFill>
                        <pic:spPr>
                          <a:xfrm>
                            <a:off x="0" y="0"/>
                            <a:ext cx="86995" cy="16891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lang w:val="en-US" w:eastAsia="zh-CN" w:bidi="ar"/>
              </w:rPr>
              <w:t>定制1米网络机柜 加2层挡板</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9</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其他线材及辅材</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水晶头、线管、扎带、插板等</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批</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10</w:t>
            </w: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5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安装调试、维护费</w:t>
            </w:r>
          </w:p>
        </w:tc>
        <w:tc>
          <w:tcPr>
            <w:tcW w:w="29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含安装调试、售后服务、技术支持、操作人员培训等</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批</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bl>
    <w:p>
      <w:pPr>
        <w:pStyle w:val="9"/>
        <w:ind w:firstLine="200" w:firstLineChars="100"/>
        <w:rPr>
          <w:rFonts w:ascii="宋体" w:hAnsi="宋体"/>
          <w:sz w:val="21"/>
          <w:szCs w:val="21"/>
        </w:rPr>
      </w:pPr>
      <w:r>
        <w:rPr>
          <w:rFonts w:ascii="宋体" w:hAnsi="宋体"/>
          <w:w w:val="95"/>
          <w:sz w:val="21"/>
          <w:szCs w:val="21"/>
        </w:rPr>
        <w:t>三、</w:t>
      </w:r>
      <w:r>
        <w:rPr>
          <w:rFonts w:ascii="宋体" w:hAnsi="宋体"/>
          <w:sz w:val="21"/>
          <w:szCs w:val="21"/>
        </w:rPr>
        <w:t>报价要求</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1、供应商依据本磋商文件规定，结合自身政策性文件规定及合同包含的所有风险、责任等各项全部费用进行自主报价。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响应报价已包含项目人工费用、管理费、利润、全额含税发票、合同实施过程中应预见和不可预见费用等，采购方不再支付其他费用。投标报价为最终报价，漏算的费用均认为已包括在报价中，供应商不得再要求追加任何费用。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成交供应商按采购人通知供货，按通知要求送至指定地点交货、安装，本项目所发生的一切费用（含磋商文件中未载明的、确保安装施工和设备正常运行所必须的配件、附件、人工、运输、安装、税收、质保服务等费用）由成交供应商承担。 </w:t>
      </w:r>
    </w:p>
    <w:p>
      <w:pPr>
        <w:pStyle w:val="9"/>
        <w:ind w:left="1011"/>
        <w:rPr>
          <w:rFonts w:ascii="宋体" w:hAnsi="宋体"/>
          <w:w w:val="95"/>
          <w:sz w:val="21"/>
          <w:szCs w:val="21"/>
        </w:rPr>
      </w:pPr>
      <w:r>
        <w:rPr>
          <w:rFonts w:hint="eastAsia"/>
          <w:b/>
          <w:sz w:val="21"/>
          <w:szCs w:val="21"/>
          <w:lang w:val="en-US" w:eastAsia="zh-CN"/>
        </w:rPr>
        <w:t xml:space="preserve"> </w:t>
      </w:r>
      <w:r>
        <w:rPr>
          <w:rFonts w:ascii="宋体" w:hAnsi="宋体"/>
          <w:w w:val="95"/>
          <w:sz w:val="21"/>
          <w:szCs w:val="21"/>
        </w:rPr>
        <w:t>四、</w:t>
      </w:r>
      <w:r>
        <w:rPr>
          <w:rFonts w:ascii="宋体" w:hAnsi="宋体"/>
          <w:sz w:val="21"/>
          <w:szCs w:val="21"/>
        </w:rPr>
        <w:t>其他要求</w:t>
      </w:r>
    </w:p>
    <w:p>
      <w:pPr>
        <w:keepNext w:val="0"/>
        <w:keepLines w:val="0"/>
        <w:widowControl/>
        <w:suppressLineNumbers w:val="0"/>
        <w:jc w:val="left"/>
      </w:pPr>
      <w:r>
        <w:rPr>
          <w:rFonts w:hint="eastAsia" w:ascii="宋体" w:hAnsi="宋体"/>
          <w:b/>
          <w:bCs/>
          <w:w w:val="95"/>
          <w:lang w:val="en-US" w:eastAsia="zh-CN"/>
        </w:rPr>
        <w:t xml:space="preserve">             </w:t>
      </w:r>
      <w:r>
        <w:rPr>
          <w:rFonts w:hint="eastAsia" w:ascii="宋体" w:hAnsi="宋体" w:eastAsia="宋体" w:cs="宋体"/>
          <w:b/>
          <w:bCs/>
          <w:color w:val="000000"/>
          <w:kern w:val="0"/>
          <w:sz w:val="21"/>
          <w:szCs w:val="21"/>
          <w:lang w:val="en-US" w:eastAsia="zh-CN" w:bidi="ar"/>
        </w:rPr>
        <w:t xml:space="preserve">指标重要性表述 </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1547"/>
        <w:gridCol w:w="65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tcPr>
          <w:p>
            <w:pPr>
              <w:keepNext w:val="0"/>
              <w:keepLines w:val="0"/>
              <w:widowControl/>
              <w:suppressLineNumbers w:val="0"/>
              <w:jc w:val="left"/>
            </w:pPr>
            <w:r>
              <w:rPr>
                <w:rFonts w:hint="eastAsia" w:ascii="宋体" w:hAnsi="宋体" w:eastAsia="宋体" w:cs="宋体"/>
                <w:b/>
                <w:bCs/>
                <w:color w:val="000000"/>
                <w:kern w:val="0"/>
                <w:sz w:val="21"/>
                <w:szCs w:val="21"/>
                <w:lang w:val="en-US" w:eastAsia="zh-CN" w:bidi="ar"/>
              </w:rPr>
              <w:t>标识重要性</w:t>
            </w:r>
          </w:p>
          <w:p>
            <w:pPr>
              <w:widowControl/>
              <w:jc w:val="left"/>
              <w:rPr>
                <w:rFonts w:hint="eastAsia" w:eastAsia="宋体"/>
                <w:vertAlign w:val="baseline"/>
                <w:lang w:val="en-US" w:eastAsia="zh-CN"/>
              </w:rPr>
            </w:pPr>
          </w:p>
        </w:tc>
        <w:tc>
          <w:tcPr>
            <w:tcW w:w="1547" w:type="dxa"/>
          </w:tcPr>
          <w:p>
            <w:pPr>
              <w:keepNext w:val="0"/>
              <w:keepLines w:val="0"/>
              <w:widowControl/>
              <w:suppressLineNumbers w:val="0"/>
              <w:jc w:val="left"/>
            </w:pPr>
            <w:r>
              <w:rPr>
                <w:rFonts w:hint="eastAsia" w:ascii="宋体" w:hAnsi="宋体" w:eastAsia="宋体" w:cs="宋体"/>
                <w:b/>
                <w:bCs/>
                <w:color w:val="000000"/>
                <w:kern w:val="0"/>
                <w:sz w:val="21"/>
                <w:szCs w:val="21"/>
                <w:lang w:val="en-US" w:eastAsia="zh-CN" w:bidi="ar"/>
              </w:rPr>
              <w:t xml:space="preserve">标识符号 </w:t>
            </w:r>
          </w:p>
          <w:p>
            <w:pPr>
              <w:widowControl/>
              <w:jc w:val="left"/>
              <w:rPr>
                <w:rFonts w:hint="eastAsia" w:eastAsia="宋体"/>
                <w:vertAlign w:val="baseline"/>
                <w:lang w:val="en-US" w:eastAsia="zh-CN"/>
              </w:rPr>
            </w:pPr>
          </w:p>
        </w:tc>
        <w:tc>
          <w:tcPr>
            <w:tcW w:w="6581" w:type="dxa"/>
          </w:tcPr>
          <w:p>
            <w:pPr>
              <w:keepNext w:val="0"/>
              <w:keepLines w:val="0"/>
              <w:widowControl/>
              <w:suppressLineNumbers w:val="0"/>
              <w:jc w:val="left"/>
            </w:pPr>
            <w:r>
              <w:rPr>
                <w:rFonts w:hint="eastAsia" w:ascii="宋体" w:hAnsi="宋体" w:eastAsia="宋体" w:cs="宋体"/>
                <w:b/>
                <w:bCs/>
                <w:color w:val="000000"/>
                <w:kern w:val="0"/>
                <w:sz w:val="21"/>
                <w:szCs w:val="21"/>
                <w:lang w:val="en-US" w:eastAsia="zh-CN" w:bidi="ar"/>
              </w:rPr>
              <w:t xml:space="preserve">代表意思 </w:t>
            </w:r>
          </w:p>
          <w:p>
            <w:pPr>
              <w:widowControl/>
              <w:jc w:val="left"/>
              <w:rPr>
                <w:rFonts w:hint="eastAsia" w:eastAsia="宋体"/>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重要指标项 </w:t>
            </w:r>
          </w:p>
          <w:p>
            <w:pPr>
              <w:widowControl/>
              <w:jc w:val="left"/>
              <w:rPr>
                <w:rFonts w:hint="eastAsia" w:eastAsia="宋体"/>
                <w:vertAlign w:val="baseline"/>
                <w:lang w:val="en-US" w:eastAsia="zh-CN"/>
              </w:rPr>
            </w:pPr>
          </w:p>
        </w:tc>
        <w:tc>
          <w:tcPr>
            <w:tcW w:w="1547" w:type="dxa"/>
          </w:tcPr>
          <w:p>
            <w:pPr>
              <w:keepNext w:val="0"/>
              <w:keepLines w:val="0"/>
              <w:widowControl/>
              <w:suppressLineNumbers w:val="0"/>
              <w:jc w:val="left"/>
            </w:pPr>
            <w:r>
              <w:rPr>
                <w:rFonts w:hint="eastAsia" w:ascii="宋体" w:hAnsi="宋体" w:eastAsia="宋体" w:cs="宋体"/>
                <w:b/>
                <w:bCs/>
                <w:color w:val="000000"/>
                <w:kern w:val="0"/>
                <w:sz w:val="21"/>
                <w:szCs w:val="21"/>
                <w:lang w:val="en-US" w:eastAsia="zh-CN" w:bidi="ar"/>
              </w:rPr>
              <w:t xml:space="preserve">★ </w:t>
            </w:r>
          </w:p>
          <w:p>
            <w:pPr>
              <w:widowControl/>
              <w:jc w:val="left"/>
              <w:rPr>
                <w:rFonts w:hint="eastAsia" w:eastAsia="宋体"/>
                <w:vertAlign w:val="baseline"/>
                <w:lang w:val="en-US" w:eastAsia="zh-CN"/>
              </w:rPr>
            </w:pPr>
          </w:p>
        </w:tc>
        <w:tc>
          <w:tcPr>
            <w:tcW w:w="6581"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评分项，详见评分细则 </w:t>
            </w:r>
          </w:p>
          <w:p>
            <w:pPr>
              <w:widowControl/>
              <w:jc w:val="left"/>
              <w:rPr>
                <w:rFonts w:hint="eastAsia" w:eastAsia="宋体"/>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1387"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无标识项 </w:t>
            </w:r>
          </w:p>
          <w:p>
            <w:pPr>
              <w:widowControl/>
              <w:jc w:val="left"/>
              <w:rPr>
                <w:rFonts w:hint="eastAsia" w:eastAsia="宋体"/>
                <w:vertAlign w:val="baseline"/>
                <w:lang w:val="en-US" w:eastAsia="zh-CN"/>
              </w:rPr>
            </w:pPr>
          </w:p>
        </w:tc>
        <w:tc>
          <w:tcPr>
            <w:tcW w:w="1547" w:type="dxa"/>
          </w:tcPr>
          <w:p>
            <w:pPr>
              <w:widowControl/>
              <w:jc w:val="left"/>
              <w:rPr>
                <w:rFonts w:hint="eastAsia" w:eastAsia="宋体"/>
                <w:vertAlign w:val="baseline"/>
                <w:lang w:val="en-US" w:eastAsia="zh-CN"/>
              </w:rPr>
            </w:pPr>
          </w:p>
        </w:tc>
        <w:tc>
          <w:tcPr>
            <w:tcW w:w="6581"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无标识项投标人响应（数据偏差在招标文件允许范围内的，视为响应），须在投标文件中提供承诺（格式自拟），承诺无标识项无偏离（满足或优于）招标文件要求。投标文件中未提供相应承诺或承诺的内容不满足要求的，投标无效</w:t>
            </w:r>
          </w:p>
          <w:p>
            <w:pPr>
              <w:widowControl/>
              <w:jc w:val="left"/>
              <w:rPr>
                <w:rFonts w:hint="eastAsia" w:eastAsia="宋体"/>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9515" w:type="dxa"/>
            <w:gridSpan w:val="3"/>
          </w:tcPr>
          <w:p>
            <w:pPr>
              <w:keepNext w:val="0"/>
              <w:keepLines w:val="0"/>
              <w:widowControl/>
              <w:suppressLineNumbers w:val="0"/>
              <w:jc w:val="left"/>
              <w:rPr>
                <w:rFonts w:hint="default"/>
                <w:lang w:val="en-US"/>
              </w:rPr>
            </w:pPr>
            <w:r>
              <w:rPr>
                <w:rFonts w:hint="eastAsia" w:ascii="宋体" w:hAnsi="宋体" w:eastAsia="宋体" w:cs="宋体"/>
                <w:color w:val="000000"/>
                <w:kern w:val="0"/>
                <w:sz w:val="21"/>
                <w:szCs w:val="21"/>
                <w:lang w:val="en-US" w:eastAsia="zh-CN" w:bidi="ar"/>
              </w:rPr>
              <w:t>注：所有技术参数及要求采购人验收时将逐条核对，如发现与实际情况不符、虚假响应等，采购人报政府采购监管部门，由此产生的责任与后果均由中标人承担。</w:t>
            </w:r>
          </w:p>
          <w:p>
            <w:pPr>
              <w:widowControl/>
              <w:jc w:val="left"/>
              <w:rPr>
                <w:rFonts w:hint="eastAsia" w:eastAsia="宋体"/>
                <w:vertAlign w:val="baseline"/>
                <w:lang w:val="en-US" w:eastAsia="zh-CN"/>
              </w:rPr>
            </w:pPr>
          </w:p>
        </w:tc>
      </w:tr>
    </w:tbl>
    <w:p>
      <w:pPr>
        <w:widowControl/>
        <w:jc w:val="left"/>
        <w:rPr>
          <w:rFonts w:hint="eastAsia" w:eastAsia="宋体"/>
          <w:lang w:val="en-US" w:eastAsia="zh-CN"/>
        </w:rPr>
      </w:pPr>
    </w:p>
    <w:p>
      <w:pPr>
        <w:rPr>
          <w:rFonts w:hint="eastAsia" w:ascii="Times New Roman" w:hAnsi="Times New Roman"/>
        </w:rPr>
      </w:pPr>
      <w:bookmarkStart w:id="48" w:name="_Toc20347"/>
      <w:r>
        <w:rPr>
          <w:rFonts w:hint="eastAsia" w:ascii="Times New Roman" w:hAnsi="Times New Roman"/>
        </w:rPr>
        <w:br w:type="page"/>
      </w:r>
    </w:p>
    <w:p>
      <w:pPr>
        <w:pStyle w:val="6"/>
        <w:keepNext/>
        <w:keepLines/>
        <w:pageBreakBefore w:val="0"/>
        <w:widowControl w:val="0"/>
        <w:kinsoku/>
        <w:wordWrap/>
        <w:overflowPunct/>
        <w:topLinePunct w:val="0"/>
        <w:autoSpaceDE/>
        <w:autoSpaceDN/>
        <w:bidi w:val="0"/>
        <w:adjustRightInd/>
        <w:snapToGrid/>
        <w:spacing w:after="90" w:line="360" w:lineRule="auto"/>
        <w:jc w:val="center"/>
        <w:textAlignment w:val="auto"/>
        <w:rPr>
          <w:rFonts w:hint="eastAsia" w:ascii="Times New Roman" w:hAnsi="Times New Roman"/>
        </w:rPr>
      </w:pPr>
      <w:r>
        <w:rPr>
          <w:rFonts w:hint="eastAsia" w:ascii="Times New Roman" w:hAnsi="Times New Roman"/>
        </w:rPr>
        <w:t>第四章</w:t>
      </w:r>
      <w:r>
        <w:rPr>
          <w:rFonts w:hint="eastAsia" w:ascii="Times New Roman" w:hAnsi="Times New Roman"/>
          <w:lang w:val="en-US" w:eastAsia="zh-CN"/>
        </w:rPr>
        <w:t xml:space="preserve"> </w:t>
      </w:r>
      <w:r>
        <w:rPr>
          <w:rFonts w:hint="eastAsia" w:ascii="Times New Roman" w:hAnsi="Times New Roman"/>
        </w:rPr>
        <w:t>评审方法和标准</w:t>
      </w:r>
      <w:bookmarkEnd w:id="48"/>
    </w:p>
    <w:p>
      <w:pPr>
        <w:pStyle w:val="9"/>
        <w:spacing w:before="188" w:line="360" w:lineRule="auto"/>
        <w:ind w:left="1011"/>
        <w:rPr>
          <w:rFonts w:ascii="宋体" w:hAnsi="宋体"/>
          <w:sz w:val="21"/>
          <w:szCs w:val="21"/>
        </w:rPr>
      </w:pPr>
      <w:r>
        <w:rPr>
          <w:rFonts w:ascii="宋体" w:hAnsi="宋体"/>
          <w:sz w:val="21"/>
          <w:szCs w:val="21"/>
        </w:rPr>
        <w:t>一、总则</w:t>
      </w:r>
    </w:p>
    <w:p>
      <w:pPr>
        <w:pStyle w:val="11"/>
        <w:spacing w:before="160" w:line="360" w:lineRule="auto"/>
        <w:ind w:left="1011" w:right="613" w:hanging="3"/>
        <w:rPr>
          <w:sz w:val="21"/>
          <w:szCs w:val="21"/>
        </w:rPr>
      </w:pPr>
      <w:r>
        <w:rPr>
          <w:sz w:val="21"/>
          <w:szCs w:val="21"/>
        </w:rPr>
        <w:t>本项目将按照磋商文件第二章 供应商须知的相关要求及本章的规定评审。</w:t>
      </w:r>
    </w:p>
    <w:p>
      <w:pPr>
        <w:pStyle w:val="11"/>
        <w:spacing w:before="160" w:line="360" w:lineRule="auto"/>
        <w:ind w:left="1011" w:right="613" w:hanging="3"/>
        <w:rPr>
          <w:b/>
          <w:sz w:val="21"/>
          <w:szCs w:val="21"/>
        </w:rPr>
      </w:pPr>
      <w:r>
        <w:rPr>
          <w:b/>
          <w:sz w:val="21"/>
          <w:szCs w:val="21"/>
        </w:rPr>
        <w:t>二、评审方法</w:t>
      </w:r>
    </w:p>
    <w:p>
      <w:pPr>
        <w:pStyle w:val="26"/>
        <w:numPr>
          <w:ilvl w:val="1"/>
          <w:numId w:val="21"/>
        </w:numPr>
        <w:tabs>
          <w:tab w:val="left" w:pos="1430"/>
        </w:tabs>
        <w:autoSpaceDE w:val="0"/>
        <w:autoSpaceDN w:val="0"/>
        <w:spacing w:before="5" w:line="360" w:lineRule="auto"/>
        <w:ind w:hanging="421" w:firstLineChars="0"/>
        <w:rPr>
          <w:rFonts w:ascii="宋体" w:hAnsi="宋体"/>
          <w:szCs w:val="21"/>
        </w:rPr>
      </w:pPr>
      <w:r>
        <w:rPr>
          <w:rFonts w:ascii="宋体" w:hAnsi="宋体"/>
          <w:szCs w:val="21"/>
        </w:rPr>
        <w:t>初审</w:t>
      </w:r>
    </w:p>
    <w:p>
      <w:pPr>
        <w:pStyle w:val="11"/>
        <w:spacing w:before="159" w:line="360" w:lineRule="auto"/>
        <w:ind w:left="574" w:right="497" w:firstLine="434"/>
        <w:rPr>
          <w:sz w:val="21"/>
          <w:szCs w:val="21"/>
        </w:rPr>
      </w:pPr>
      <w:r>
        <w:rPr>
          <w:sz w:val="21"/>
          <w:szCs w:val="21"/>
        </w:rPr>
        <w:t>磋商小组对供应商的响应文件进行初审，以确定其是否满足磋商文件的实质性要求。初审表如下：</w:t>
      </w:r>
    </w:p>
    <w:tbl>
      <w:tblPr>
        <w:tblStyle w:val="19"/>
        <w:tblW w:w="0" w:type="auto"/>
        <w:tblInd w:w="4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5"/>
        <w:gridCol w:w="1654"/>
        <w:gridCol w:w="2258"/>
        <w:gridCol w:w="38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8496" w:type="dxa"/>
            <w:gridSpan w:val="4"/>
            <w:noWrap w:val="0"/>
            <w:vAlign w:val="top"/>
          </w:tcPr>
          <w:p>
            <w:pPr>
              <w:pStyle w:val="25"/>
              <w:spacing w:before="28" w:line="360" w:lineRule="auto"/>
              <w:ind w:left="3870" w:right="3853"/>
              <w:jc w:val="center"/>
              <w:rPr>
                <w:b/>
                <w:sz w:val="21"/>
                <w:szCs w:val="21"/>
                <w:lang w:eastAsia="en-US"/>
              </w:rPr>
            </w:pPr>
            <w:r>
              <w:rPr>
                <w:b/>
                <w:sz w:val="21"/>
                <w:szCs w:val="21"/>
                <w:lang w:eastAsia="en-US"/>
              </w:rPr>
              <w:t>初审表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15" w:type="dxa"/>
            <w:noWrap w:val="0"/>
            <w:vAlign w:val="top"/>
          </w:tcPr>
          <w:p>
            <w:pPr>
              <w:pStyle w:val="25"/>
              <w:spacing w:line="360" w:lineRule="auto"/>
              <w:ind w:left="102" w:right="83"/>
              <w:jc w:val="center"/>
              <w:rPr>
                <w:sz w:val="21"/>
                <w:szCs w:val="21"/>
                <w:lang w:eastAsia="en-US"/>
              </w:rPr>
            </w:pPr>
            <w:r>
              <w:rPr>
                <w:sz w:val="21"/>
                <w:szCs w:val="21"/>
                <w:lang w:eastAsia="en-US"/>
              </w:rPr>
              <w:t>序号</w:t>
            </w:r>
          </w:p>
        </w:tc>
        <w:tc>
          <w:tcPr>
            <w:tcW w:w="1654" w:type="dxa"/>
            <w:noWrap w:val="0"/>
            <w:vAlign w:val="top"/>
          </w:tcPr>
          <w:p>
            <w:pPr>
              <w:pStyle w:val="25"/>
              <w:spacing w:line="360" w:lineRule="auto"/>
              <w:ind w:left="107" w:right="91"/>
              <w:jc w:val="center"/>
              <w:rPr>
                <w:sz w:val="21"/>
                <w:szCs w:val="21"/>
                <w:lang w:eastAsia="en-US"/>
              </w:rPr>
            </w:pPr>
            <w:r>
              <w:rPr>
                <w:sz w:val="21"/>
                <w:szCs w:val="21"/>
                <w:lang w:eastAsia="en-US"/>
              </w:rPr>
              <w:t>评审指标</w:t>
            </w:r>
          </w:p>
        </w:tc>
        <w:tc>
          <w:tcPr>
            <w:tcW w:w="2258" w:type="dxa"/>
            <w:tcBorders>
              <w:right w:val="single" w:color="000000" w:sz="6" w:space="0"/>
            </w:tcBorders>
            <w:noWrap w:val="0"/>
            <w:vAlign w:val="top"/>
          </w:tcPr>
          <w:p>
            <w:pPr>
              <w:pStyle w:val="25"/>
              <w:spacing w:line="360" w:lineRule="auto"/>
              <w:ind w:left="170" w:right="150"/>
              <w:jc w:val="center"/>
              <w:rPr>
                <w:sz w:val="21"/>
                <w:szCs w:val="21"/>
                <w:lang w:eastAsia="en-US"/>
              </w:rPr>
            </w:pPr>
            <w:r>
              <w:rPr>
                <w:sz w:val="21"/>
                <w:szCs w:val="21"/>
                <w:lang w:eastAsia="en-US"/>
              </w:rPr>
              <w:t>评审标准</w:t>
            </w:r>
          </w:p>
        </w:tc>
        <w:tc>
          <w:tcPr>
            <w:tcW w:w="3869" w:type="dxa"/>
            <w:tcBorders>
              <w:left w:val="single" w:color="000000" w:sz="6" w:space="0"/>
            </w:tcBorders>
            <w:noWrap w:val="0"/>
            <w:vAlign w:val="top"/>
          </w:tcPr>
          <w:p>
            <w:pPr>
              <w:pStyle w:val="25"/>
              <w:spacing w:line="360" w:lineRule="auto"/>
              <w:ind w:left="1095"/>
              <w:rPr>
                <w:sz w:val="21"/>
                <w:szCs w:val="21"/>
                <w:lang w:eastAsia="en-US"/>
              </w:rPr>
            </w:pPr>
            <w:r>
              <w:rPr>
                <w:sz w:val="21"/>
                <w:szCs w:val="21"/>
                <w:lang w:eastAsia="en-US"/>
              </w:rPr>
              <w:t>格式及材料要求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5" w:hRule="atLeast"/>
        </w:trPr>
        <w:tc>
          <w:tcPr>
            <w:tcW w:w="715" w:type="dxa"/>
            <w:noWrap w:val="0"/>
            <w:vAlign w:val="top"/>
          </w:tcPr>
          <w:p>
            <w:pPr>
              <w:pStyle w:val="25"/>
              <w:spacing w:line="360" w:lineRule="auto"/>
              <w:rPr>
                <w:sz w:val="21"/>
                <w:szCs w:val="21"/>
                <w:lang w:eastAsia="en-US"/>
              </w:rPr>
            </w:pPr>
          </w:p>
          <w:p>
            <w:pPr>
              <w:pStyle w:val="25"/>
              <w:spacing w:before="4" w:line="360" w:lineRule="auto"/>
              <w:rPr>
                <w:sz w:val="21"/>
                <w:szCs w:val="21"/>
                <w:lang w:eastAsia="en-US"/>
              </w:rPr>
            </w:pPr>
          </w:p>
          <w:p>
            <w:pPr>
              <w:pStyle w:val="25"/>
              <w:spacing w:line="360" w:lineRule="auto"/>
              <w:ind w:left="19"/>
              <w:jc w:val="center"/>
              <w:rPr>
                <w:sz w:val="21"/>
                <w:szCs w:val="21"/>
                <w:lang w:eastAsia="en-US"/>
              </w:rPr>
            </w:pPr>
            <w:r>
              <w:rPr>
                <w:sz w:val="21"/>
                <w:szCs w:val="21"/>
                <w:lang w:eastAsia="en-US"/>
              </w:rPr>
              <w:t>1</w:t>
            </w:r>
          </w:p>
        </w:tc>
        <w:tc>
          <w:tcPr>
            <w:tcW w:w="1654" w:type="dxa"/>
            <w:noWrap w:val="0"/>
            <w:vAlign w:val="top"/>
          </w:tcPr>
          <w:p>
            <w:pPr>
              <w:pStyle w:val="25"/>
              <w:spacing w:line="360" w:lineRule="auto"/>
              <w:rPr>
                <w:sz w:val="21"/>
                <w:szCs w:val="21"/>
                <w:lang w:eastAsia="en-US"/>
              </w:rPr>
            </w:pPr>
          </w:p>
          <w:p>
            <w:pPr>
              <w:pStyle w:val="25"/>
              <w:spacing w:before="6" w:line="360" w:lineRule="auto"/>
              <w:rPr>
                <w:sz w:val="21"/>
                <w:szCs w:val="21"/>
                <w:lang w:eastAsia="en-US"/>
              </w:rPr>
            </w:pPr>
          </w:p>
          <w:p>
            <w:pPr>
              <w:pStyle w:val="25"/>
              <w:spacing w:line="360" w:lineRule="auto"/>
              <w:ind w:left="107" w:right="91"/>
              <w:jc w:val="center"/>
              <w:rPr>
                <w:sz w:val="21"/>
                <w:szCs w:val="21"/>
                <w:lang w:eastAsia="en-US"/>
              </w:rPr>
            </w:pPr>
            <w:r>
              <w:rPr>
                <w:sz w:val="21"/>
                <w:szCs w:val="21"/>
                <w:lang w:eastAsia="en-US"/>
              </w:rPr>
              <w:t>营业执照</w:t>
            </w:r>
          </w:p>
        </w:tc>
        <w:tc>
          <w:tcPr>
            <w:tcW w:w="2258" w:type="dxa"/>
            <w:tcBorders>
              <w:right w:val="single" w:color="000000" w:sz="6" w:space="0"/>
            </w:tcBorders>
            <w:noWrap w:val="0"/>
            <w:vAlign w:val="top"/>
          </w:tcPr>
          <w:p>
            <w:pPr>
              <w:pStyle w:val="25"/>
              <w:spacing w:line="360" w:lineRule="auto"/>
              <w:rPr>
                <w:sz w:val="21"/>
                <w:szCs w:val="21"/>
                <w:lang w:eastAsia="en-US"/>
              </w:rPr>
            </w:pPr>
          </w:p>
          <w:p>
            <w:pPr>
              <w:pStyle w:val="25"/>
              <w:spacing w:before="6" w:line="360" w:lineRule="auto"/>
              <w:rPr>
                <w:sz w:val="21"/>
                <w:szCs w:val="21"/>
                <w:lang w:eastAsia="en-US"/>
              </w:rPr>
            </w:pPr>
          </w:p>
          <w:p>
            <w:pPr>
              <w:pStyle w:val="25"/>
              <w:spacing w:line="360" w:lineRule="auto"/>
              <w:ind w:left="170" w:right="150"/>
              <w:jc w:val="center"/>
              <w:rPr>
                <w:sz w:val="21"/>
                <w:szCs w:val="21"/>
                <w:lang w:eastAsia="en-US"/>
              </w:rPr>
            </w:pPr>
            <w:r>
              <w:rPr>
                <w:sz w:val="21"/>
                <w:szCs w:val="21"/>
                <w:lang w:eastAsia="en-US"/>
              </w:rPr>
              <w:t>合法有效</w:t>
            </w:r>
          </w:p>
        </w:tc>
        <w:tc>
          <w:tcPr>
            <w:tcW w:w="3869" w:type="dxa"/>
            <w:tcBorders>
              <w:left w:val="single" w:color="000000" w:sz="6" w:space="0"/>
            </w:tcBorders>
            <w:noWrap w:val="0"/>
            <w:vAlign w:val="top"/>
          </w:tcPr>
          <w:p>
            <w:pPr>
              <w:pStyle w:val="25"/>
              <w:spacing w:line="360" w:lineRule="auto"/>
              <w:ind w:left="106" w:right="148"/>
              <w:jc w:val="both"/>
              <w:rPr>
                <w:sz w:val="21"/>
                <w:szCs w:val="21"/>
                <w:lang w:eastAsia="en-US"/>
              </w:rPr>
            </w:pPr>
            <w:r>
              <w:rPr>
                <w:sz w:val="21"/>
                <w:szCs w:val="21"/>
              </w:rPr>
              <w:t>提供有效的供应商营业执照（或事业单位法人登记证书）和税务登记证的扫描件，应完整的体现出营业执照（或事业单位法人登记证书） 和税务登记证的全部内容。已办理“三证合一”登记的，响应文件中提供营业执照（或事业单位法人登记证书）扫描件即可。</w:t>
            </w:r>
            <w:r>
              <w:rPr>
                <w:sz w:val="21"/>
                <w:szCs w:val="21"/>
                <w:lang w:eastAsia="en-US"/>
              </w:rPr>
              <w:t>联合体参加磋商的联合体各方均须提供。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9" w:hRule="atLeast"/>
        </w:trPr>
        <w:tc>
          <w:tcPr>
            <w:tcW w:w="715" w:type="dxa"/>
            <w:noWrap w:val="0"/>
            <w:vAlign w:val="top"/>
          </w:tcPr>
          <w:p>
            <w:pPr>
              <w:pStyle w:val="25"/>
              <w:spacing w:line="360" w:lineRule="auto"/>
              <w:rPr>
                <w:sz w:val="21"/>
                <w:szCs w:val="21"/>
                <w:lang w:eastAsia="en-US"/>
              </w:rPr>
            </w:pPr>
          </w:p>
          <w:p>
            <w:pPr>
              <w:pStyle w:val="25"/>
              <w:spacing w:before="9" w:line="360" w:lineRule="auto"/>
              <w:rPr>
                <w:sz w:val="21"/>
                <w:szCs w:val="21"/>
                <w:lang w:eastAsia="en-US"/>
              </w:rPr>
            </w:pPr>
          </w:p>
          <w:p>
            <w:pPr>
              <w:pStyle w:val="25"/>
              <w:spacing w:line="360" w:lineRule="auto"/>
              <w:ind w:left="19"/>
              <w:jc w:val="center"/>
              <w:rPr>
                <w:sz w:val="21"/>
                <w:szCs w:val="21"/>
                <w:lang w:eastAsia="en-US"/>
              </w:rPr>
            </w:pPr>
            <w:r>
              <w:rPr>
                <w:rFonts w:hint="eastAsia"/>
                <w:sz w:val="21"/>
                <w:szCs w:val="21"/>
                <w:lang w:eastAsia="en-US"/>
              </w:rPr>
              <w:t>3</w:t>
            </w:r>
          </w:p>
        </w:tc>
        <w:tc>
          <w:tcPr>
            <w:tcW w:w="1654" w:type="dxa"/>
            <w:noWrap w:val="0"/>
            <w:vAlign w:val="top"/>
          </w:tcPr>
          <w:p>
            <w:pPr>
              <w:pStyle w:val="25"/>
              <w:spacing w:before="2" w:line="360" w:lineRule="auto"/>
              <w:ind w:left="110" w:right="91"/>
              <w:jc w:val="center"/>
              <w:rPr>
                <w:sz w:val="21"/>
                <w:szCs w:val="21"/>
              </w:rPr>
            </w:pPr>
            <w:r>
              <w:rPr>
                <w:sz w:val="21"/>
                <w:szCs w:val="21"/>
              </w:rPr>
              <w:t>无重大违法记录声明函、无不良信用记录声明函</w:t>
            </w:r>
          </w:p>
        </w:tc>
        <w:tc>
          <w:tcPr>
            <w:tcW w:w="2258" w:type="dxa"/>
            <w:tcBorders>
              <w:right w:val="single" w:color="000000" w:sz="6" w:space="0"/>
            </w:tcBorders>
            <w:noWrap w:val="0"/>
            <w:vAlign w:val="top"/>
          </w:tcPr>
          <w:p>
            <w:pPr>
              <w:pStyle w:val="25"/>
              <w:spacing w:before="4" w:line="360" w:lineRule="auto"/>
              <w:rPr>
                <w:sz w:val="21"/>
                <w:szCs w:val="21"/>
              </w:rPr>
            </w:pPr>
          </w:p>
          <w:p>
            <w:pPr>
              <w:pStyle w:val="25"/>
              <w:spacing w:line="360" w:lineRule="auto"/>
              <w:ind w:left="172" w:right="83" w:hanging="68"/>
              <w:jc w:val="both"/>
              <w:rPr>
                <w:rFonts w:hint="eastAsia" w:eastAsia="宋体"/>
                <w:sz w:val="21"/>
                <w:szCs w:val="21"/>
                <w:lang w:eastAsia="zh-CN"/>
              </w:rPr>
            </w:pPr>
            <w:r>
              <w:rPr>
                <w:sz w:val="21"/>
                <w:szCs w:val="21"/>
              </w:rPr>
              <w:t>格式、填写要求符合磋商文件规定并加盖供应商</w:t>
            </w:r>
            <w:r>
              <w:rPr>
                <w:rFonts w:hint="eastAsia"/>
                <w:sz w:val="21"/>
                <w:szCs w:val="21"/>
                <w:lang w:eastAsia="zh-CN"/>
              </w:rPr>
              <w:t>签章</w:t>
            </w:r>
          </w:p>
        </w:tc>
        <w:tc>
          <w:tcPr>
            <w:tcW w:w="3869" w:type="dxa"/>
            <w:tcBorders>
              <w:left w:val="single" w:color="000000" w:sz="6" w:space="0"/>
            </w:tcBorders>
            <w:noWrap w:val="0"/>
            <w:vAlign w:val="top"/>
          </w:tcPr>
          <w:p>
            <w:pPr>
              <w:pStyle w:val="25"/>
              <w:spacing w:line="360" w:lineRule="auto"/>
              <w:rPr>
                <w:sz w:val="21"/>
                <w:szCs w:val="21"/>
              </w:rPr>
            </w:pPr>
          </w:p>
          <w:p>
            <w:pPr>
              <w:pStyle w:val="25"/>
              <w:spacing w:before="9" w:line="360" w:lineRule="auto"/>
              <w:rPr>
                <w:sz w:val="21"/>
                <w:szCs w:val="21"/>
              </w:rPr>
            </w:pPr>
          </w:p>
          <w:p>
            <w:pPr>
              <w:pStyle w:val="25"/>
              <w:spacing w:line="360" w:lineRule="auto"/>
              <w:ind w:left="106"/>
              <w:rPr>
                <w:sz w:val="21"/>
                <w:szCs w:val="21"/>
              </w:rPr>
            </w:pPr>
            <w:r>
              <w:rPr>
                <w:sz w:val="21"/>
                <w:szCs w:val="21"/>
              </w:rPr>
              <w:t>详见第六章响应文件格式四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9" w:hRule="atLeast"/>
        </w:trPr>
        <w:tc>
          <w:tcPr>
            <w:tcW w:w="715" w:type="dxa"/>
            <w:noWrap w:val="0"/>
            <w:vAlign w:val="top"/>
          </w:tcPr>
          <w:p>
            <w:pPr>
              <w:pStyle w:val="25"/>
              <w:spacing w:line="360" w:lineRule="auto"/>
              <w:rPr>
                <w:sz w:val="21"/>
                <w:szCs w:val="21"/>
              </w:rPr>
            </w:pPr>
          </w:p>
          <w:p>
            <w:pPr>
              <w:pStyle w:val="25"/>
              <w:spacing w:before="184" w:line="360" w:lineRule="auto"/>
              <w:ind w:left="19"/>
              <w:jc w:val="center"/>
              <w:rPr>
                <w:sz w:val="21"/>
                <w:szCs w:val="21"/>
                <w:lang w:eastAsia="en-US"/>
              </w:rPr>
            </w:pPr>
            <w:r>
              <w:rPr>
                <w:rFonts w:hint="eastAsia"/>
                <w:sz w:val="21"/>
                <w:szCs w:val="21"/>
                <w:lang w:eastAsia="en-US"/>
              </w:rPr>
              <w:t>4</w:t>
            </w:r>
          </w:p>
        </w:tc>
        <w:tc>
          <w:tcPr>
            <w:tcW w:w="1654" w:type="dxa"/>
            <w:noWrap w:val="0"/>
            <w:vAlign w:val="top"/>
          </w:tcPr>
          <w:p>
            <w:pPr>
              <w:pStyle w:val="25"/>
              <w:spacing w:line="360" w:lineRule="auto"/>
              <w:rPr>
                <w:sz w:val="21"/>
                <w:szCs w:val="21"/>
                <w:lang w:eastAsia="en-US"/>
              </w:rPr>
            </w:pPr>
          </w:p>
          <w:p>
            <w:pPr>
              <w:pStyle w:val="25"/>
              <w:spacing w:before="158" w:line="360" w:lineRule="auto"/>
              <w:ind w:left="107" w:right="91"/>
              <w:jc w:val="center"/>
              <w:rPr>
                <w:sz w:val="21"/>
                <w:szCs w:val="21"/>
                <w:lang w:eastAsia="en-US"/>
              </w:rPr>
            </w:pPr>
            <w:r>
              <w:rPr>
                <w:sz w:val="21"/>
                <w:szCs w:val="21"/>
                <w:lang w:eastAsia="en-US"/>
              </w:rPr>
              <w:t>磋商响应函</w:t>
            </w:r>
          </w:p>
        </w:tc>
        <w:tc>
          <w:tcPr>
            <w:tcW w:w="2258" w:type="dxa"/>
            <w:tcBorders>
              <w:right w:val="single" w:color="000000" w:sz="6" w:space="0"/>
            </w:tcBorders>
            <w:noWrap w:val="0"/>
            <w:vAlign w:val="top"/>
          </w:tcPr>
          <w:p>
            <w:pPr>
              <w:pStyle w:val="25"/>
              <w:spacing w:line="360" w:lineRule="auto"/>
              <w:ind w:left="172" w:right="83" w:hanging="68"/>
              <w:jc w:val="both"/>
              <w:rPr>
                <w:rFonts w:hint="eastAsia" w:eastAsia="宋体"/>
                <w:sz w:val="21"/>
                <w:szCs w:val="21"/>
                <w:lang w:eastAsia="zh-CN"/>
              </w:rPr>
            </w:pPr>
            <w:r>
              <w:rPr>
                <w:sz w:val="21"/>
                <w:szCs w:val="21"/>
              </w:rPr>
              <w:t>格式、填写要求符合磋商文件规定并加盖供应商</w:t>
            </w:r>
            <w:r>
              <w:rPr>
                <w:rFonts w:hint="eastAsia"/>
                <w:sz w:val="21"/>
                <w:szCs w:val="21"/>
                <w:lang w:eastAsia="zh-CN"/>
              </w:rPr>
              <w:t>签章</w:t>
            </w:r>
          </w:p>
        </w:tc>
        <w:tc>
          <w:tcPr>
            <w:tcW w:w="3869" w:type="dxa"/>
            <w:tcBorders>
              <w:left w:val="single" w:color="000000" w:sz="6" w:space="0"/>
            </w:tcBorders>
            <w:noWrap w:val="0"/>
            <w:vAlign w:val="top"/>
          </w:tcPr>
          <w:p>
            <w:pPr>
              <w:pStyle w:val="25"/>
              <w:spacing w:line="360" w:lineRule="auto"/>
              <w:rPr>
                <w:sz w:val="21"/>
                <w:szCs w:val="21"/>
              </w:rPr>
            </w:pPr>
          </w:p>
          <w:p>
            <w:pPr>
              <w:pStyle w:val="25"/>
              <w:spacing w:before="184" w:line="360" w:lineRule="auto"/>
              <w:ind w:left="106"/>
              <w:rPr>
                <w:sz w:val="21"/>
                <w:szCs w:val="21"/>
              </w:rPr>
            </w:pPr>
            <w:r>
              <w:rPr>
                <w:sz w:val="21"/>
                <w:szCs w:val="21"/>
              </w:rPr>
              <w:t>详见第六章响应文件格式三</w:t>
            </w:r>
          </w:p>
        </w:tc>
      </w:tr>
    </w:tbl>
    <w:p>
      <w:pPr>
        <w:spacing w:line="360" w:lineRule="auto"/>
        <w:rPr>
          <w:rFonts w:ascii="宋体" w:hAnsi="宋体"/>
        </w:rPr>
        <w:sectPr>
          <w:pgSz w:w="11910" w:h="16850"/>
          <w:pgMar w:top="1400" w:right="1240" w:bottom="1460" w:left="1240" w:header="877" w:footer="1266" w:gutter="0"/>
          <w:pgNumType w:fmt="decimal"/>
          <w:cols w:space="720" w:num="1"/>
        </w:sectPr>
      </w:pPr>
    </w:p>
    <w:p>
      <w:pPr>
        <w:pStyle w:val="11"/>
        <w:spacing w:before="9" w:line="360" w:lineRule="auto"/>
        <w:rPr>
          <w:sz w:val="21"/>
          <w:szCs w:val="21"/>
        </w:rPr>
      </w:pPr>
    </w:p>
    <w:tbl>
      <w:tblPr>
        <w:tblStyle w:val="19"/>
        <w:tblW w:w="8496" w:type="dxa"/>
        <w:tblInd w:w="4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7"/>
        <w:gridCol w:w="1702"/>
        <w:gridCol w:w="2258"/>
        <w:gridCol w:w="38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1" w:hRule="atLeast"/>
        </w:trPr>
        <w:tc>
          <w:tcPr>
            <w:tcW w:w="667" w:type="dxa"/>
            <w:noWrap w:val="0"/>
            <w:vAlign w:val="top"/>
          </w:tcPr>
          <w:p>
            <w:pPr>
              <w:pStyle w:val="25"/>
              <w:spacing w:line="360" w:lineRule="auto"/>
              <w:rPr>
                <w:sz w:val="21"/>
                <w:szCs w:val="21"/>
              </w:rPr>
            </w:pPr>
          </w:p>
          <w:p>
            <w:pPr>
              <w:pStyle w:val="25"/>
              <w:spacing w:before="9" w:line="360" w:lineRule="auto"/>
              <w:rPr>
                <w:sz w:val="21"/>
                <w:szCs w:val="21"/>
              </w:rPr>
            </w:pPr>
          </w:p>
          <w:p>
            <w:pPr>
              <w:pStyle w:val="25"/>
              <w:spacing w:line="360" w:lineRule="auto"/>
              <w:ind w:left="19"/>
              <w:jc w:val="center"/>
              <w:rPr>
                <w:sz w:val="21"/>
                <w:szCs w:val="21"/>
                <w:lang w:eastAsia="en-US"/>
              </w:rPr>
            </w:pPr>
            <w:r>
              <w:rPr>
                <w:rFonts w:hint="eastAsia"/>
                <w:sz w:val="21"/>
                <w:szCs w:val="21"/>
                <w:lang w:eastAsia="en-US"/>
              </w:rPr>
              <w:t>5</w:t>
            </w:r>
          </w:p>
        </w:tc>
        <w:tc>
          <w:tcPr>
            <w:tcW w:w="1702" w:type="dxa"/>
            <w:noWrap w:val="0"/>
            <w:vAlign w:val="top"/>
          </w:tcPr>
          <w:p>
            <w:pPr>
              <w:pStyle w:val="25"/>
              <w:spacing w:line="360" w:lineRule="auto"/>
              <w:rPr>
                <w:sz w:val="21"/>
                <w:szCs w:val="21"/>
                <w:lang w:eastAsia="en-US"/>
              </w:rPr>
            </w:pPr>
          </w:p>
          <w:p>
            <w:pPr>
              <w:pStyle w:val="25"/>
              <w:spacing w:before="192" w:line="360" w:lineRule="auto"/>
              <w:ind w:left="107" w:right="91"/>
              <w:jc w:val="center"/>
              <w:rPr>
                <w:sz w:val="21"/>
                <w:szCs w:val="21"/>
                <w:lang w:eastAsia="en-US"/>
              </w:rPr>
            </w:pPr>
            <w:r>
              <w:rPr>
                <w:sz w:val="21"/>
                <w:szCs w:val="21"/>
                <w:lang w:eastAsia="en-US"/>
              </w:rPr>
              <w:t>磋商授权书</w:t>
            </w:r>
          </w:p>
        </w:tc>
        <w:tc>
          <w:tcPr>
            <w:tcW w:w="2258" w:type="dxa"/>
            <w:tcBorders>
              <w:right w:val="single" w:color="000000" w:sz="6" w:space="0"/>
            </w:tcBorders>
            <w:noWrap w:val="0"/>
            <w:vAlign w:val="top"/>
          </w:tcPr>
          <w:p>
            <w:pPr>
              <w:pStyle w:val="25"/>
              <w:spacing w:line="360" w:lineRule="auto"/>
              <w:ind w:left="172" w:right="83" w:hanging="68"/>
              <w:jc w:val="both"/>
              <w:rPr>
                <w:rFonts w:hint="eastAsia" w:eastAsia="宋体"/>
                <w:sz w:val="21"/>
                <w:szCs w:val="21"/>
                <w:lang w:eastAsia="zh-CN"/>
              </w:rPr>
            </w:pPr>
            <w:r>
              <w:rPr>
                <w:sz w:val="21"/>
                <w:szCs w:val="21"/>
              </w:rPr>
              <w:t>格式、填写要求符合磋商文件规定并加盖供应商</w:t>
            </w:r>
            <w:r>
              <w:rPr>
                <w:rFonts w:hint="eastAsia"/>
                <w:sz w:val="21"/>
                <w:szCs w:val="21"/>
                <w:lang w:eastAsia="zh-CN"/>
              </w:rPr>
              <w:t>签章</w:t>
            </w:r>
          </w:p>
        </w:tc>
        <w:tc>
          <w:tcPr>
            <w:tcW w:w="3869" w:type="dxa"/>
            <w:tcBorders>
              <w:left w:val="single" w:color="000000" w:sz="6" w:space="0"/>
            </w:tcBorders>
            <w:noWrap w:val="0"/>
            <w:vAlign w:val="top"/>
          </w:tcPr>
          <w:p>
            <w:pPr>
              <w:pStyle w:val="25"/>
              <w:spacing w:before="26" w:line="360" w:lineRule="auto"/>
              <w:ind w:left="106" w:right="148"/>
              <w:jc w:val="both"/>
              <w:rPr>
                <w:sz w:val="21"/>
                <w:szCs w:val="21"/>
              </w:rPr>
            </w:pPr>
            <w:r>
              <w:rPr>
                <w:sz w:val="21"/>
                <w:szCs w:val="21"/>
              </w:rPr>
              <w:t>法定代表人参加磋商的无需此件， 提供身份证明即可。详见第六章响应文件格式五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4" w:hRule="atLeast"/>
        </w:trPr>
        <w:tc>
          <w:tcPr>
            <w:tcW w:w="667" w:type="dxa"/>
            <w:noWrap w:val="0"/>
            <w:vAlign w:val="top"/>
          </w:tcPr>
          <w:p>
            <w:pPr>
              <w:pStyle w:val="25"/>
              <w:spacing w:before="7" w:line="360" w:lineRule="auto"/>
              <w:rPr>
                <w:sz w:val="21"/>
                <w:szCs w:val="21"/>
              </w:rPr>
            </w:pPr>
          </w:p>
          <w:p>
            <w:pPr>
              <w:pStyle w:val="25"/>
              <w:spacing w:line="360" w:lineRule="auto"/>
              <w:ind w:left="19"/>
              <w:jc w:val="center"/>
              <w:rPr>
                <w:sz w:val="21"/>
                <w:szCs w:val="21"/>
                <w:lang w:eastAsia="en-US"/>
              </w:rPr>
            </w:pPr>
            <w:r>
              <w:rPr>
                <w:rFonts w:hint="eastAsia"/>
                <w:sz w:val="21"/>
                <w:szCs w:val="21"/>
                <w:lang w:eastAsia="en-US"/>
              </w:rPr>
              <w:t>6</w:t>
            </w:r>
          </w:p>
        </w:tc>
        <w:tc>
          <w:tcPr>
            <w:tcW w:w="1702" w:type="dxa"/>
            <w:noWrap w:val="0"/>
            <w:vAlign w:val="top"/>
          </w:tcPr>
          <w:p>
            <w:pPr>
              <w:pStyle w:val="25"/>
              <w:spacing w:line="360" w:lineRule="auto"/>
              <w:rPr>
                <w:sz w:val="21"/>
                <w:szCs w:val="21"/>
                <w:lang w:eastAsia="en-US"/>
              </w:rPr>
            </w:pPr>
          </w:p>
          <w:p>
            <w:pPr>
              <w:pStyle w:val="25"/>
              <w:spacing w:before="192" w:line="360" w:lineRule="auto"/>
              <w:ind w:left="107" w:leftChars="0" w:right="91" w:rightChars="0"/>
              <w:jc w:val="center"/>
              <w:rPr>
                <w:sz w:val="21"/>
                <w:szCs w:val="21"/>
              </w:rPr>
            </w:pPr>
            <w:r>
              <w:rPr>
                <w:sz w:val="21"/>
                <w:szCs w:val="21"/>
                <w:lang w:eastAsia="en-US"/>
              </w:rPr>
              <w:t>磋商报价</w:t>
            </w:r>
          </w:p>
        </w:tc>
        <w:tc>
          <w:tcPr>
            <w:tcW w:w="2258" w:type="dxa"/>
            <w:tcBorders>
              <w:right w:val="single" w:color="000000" w:sz="6" w:space="0"/>
            </w:tcBorders>
            <w:noWrap w:val="0"/>
            <w:vAlign w:val="top"/>
          </w:tcPr>
          <w:p>
            <w:pPr>
              <w:pStyle w:val="25"/>
              <w:spacing w:line="360" w:lineRule="auto"/>
              <w:ind w:left="141" w:leftChars="0" w:right="121" w:rightChars="0" w:firstLine="2" w:firstLineChars="0"/>
              <w:jc w:val="center"/>
              <w:rPr>
                <w:sz w:val="21"/>
                <w:szCs w:val="21"/>
              </w:rPr>
            </w:pPr>
            <w:r>
              <w:rPr>
                <w:sz w:val="21"/>
                <w:szCs w:val="21"/>
              </w:rPr>
              <w:t>符合磋商文件供应商须知正文第 12、22 条要求</w:t>
            </w:r>
          </w:p>
        </w:tc>
        <w:tc>
          <w:tcPr>
            <w:tcW w:w="3869" w:type="dxa"/>
            <w:tcBorders>
              <w:left w:val="single" w:color="000000" w:sz="6" w:space="0"/>
            </w:tcBorders>
            <w:noWrap w:val="0"/>
            <w:vAlign w:val="top"/>
          </w:tcPr>
          <w:p>
            <w:pPr>
              <w:pStyle w:val="25"/>
              <w:spacing w:line="360" w:lineRule="auto"/>
              <w:rPr>
                <w:sz w:val="21"/>
                <w:szCs w:val="21"/>
              </w:rPr>
            </w:pPr>
          </w:p>
          <w:p>
            <w:pPr>
              <w:pStyle w:val="25"/>
              <w:spacing w:before="216" w:line="360" w:lineRule="auto"/>
              <w:ind w:left="106" w:leftChars="0"/>
              <w:rPr>
                <w:sz w:val="21"/>
                <w:szCs w:val="21"/>
              </w:rPr>
            </w:pPr>
            <w:r>
              <w:rPr>
                <w:sz w:val="21"/>
                <w:szCs w:val="21"/>
              </w:rPr>
              <w:t>详见第六章响应文件格式一、二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4" w:hRule="atLeast"/>
        </w:trPr>
        <w:tc>
          <w:tcPr>
            <w:tcW w:w="667" w:type="dxa"/>
            <w:noWrap w:val="0"/>
            <w:vAlign w:val="top"/>
          </w:tcPr>
          <w:p>
            <w:pPr>
              <w:pStyle w:val="25"/>
              <w:spacing w:line="360" w:lineRule="auto"/>
              <w:ind w:left="19"/>
              <w:jc w:val="center"/>
              <w:rPr>
                <w:sz w:val="21"/>
                <w:szCs w:val="21"/>
                <w:lang w:eastAsia="en-US"/>
              </w:rPr>
            </w:pPr>
            <w:r>
              <w:rPr>
                <w:rFonts w:hint="eastAsia"/>
                <w:sz w:val="21"/>
                <w:szCs w:val="21"/>
                <w:lang w:eastAsia="en-US"/>
              </w:rPr>
              <w:t>7</w:t>
            </w:r>
          </w:p>
        </w:tc>
        <w:tc>
          <w:tcPr>
            <w:tcW w:w="1702" w:type="dxa"/>
            <w:noWrap w:val="0"/>
            <w:vAlign w:val="top"/>
          </w:tcPr>
          <w:p>
            <w:pPr>
              <w:pStyle w:val="25"/>
              <w:spacing w:line="360" w:lineRule="auto"/>
              <w:rPr>
                <w:sz w:val="21"/>
                <w:szCs w:val="21"/>
                <w:lang w:eastAsia="en-US"/>
              </w:rPr>
            </w:pPr>
          </w:p>
          <w:p>
            <w:pPr>
              <w:pStyle w:val="25"/>
              <w:spacing w:before="4" w:line="360" w:lineRule="auto"/>
              <w:rPr>
                <w:sz w:val="21"/>
                <w:szCs w:val="21"/>
                <w:lang w:eastAsia="en-US"/>
              </w:rPr>
            </w:pPr>
          </w:p>
          <w:p>
            <w:pPr>
              <w:pStyle w:val="25"/>
              <w:spacing w:line="360" w:lineRule="auto"/>
              <w:ind w:left="90" w:leftChars="0" w:right="74" w:rightChars="0"/>
              <w:jc w:val="center"/>
              <w:rPr>
                <w:sz w:val="21"/>
                <w:szCs w:val="21"/>
                <w:lang w:eastAsia="en-US"/>
              </w:rPr>
            </w:pPr>
            <w:r>
              <w:rPr>
                <w:sz w:val="21"/>
                <w:szCs w:val="21"/>
                <w:lang w:eastAsia="en-US"/>
              </w:rPr>
              <w:t>商务响应情况</w:t>
            </w:r>
          </w:p>
        </w:tc>
        <w:tc>
          <w:tcPr>
            <w:tcW w:w="2258" w:type="dxa"/>
            <w:tcBorders>
              <w:right w:val="single" w:color="000000" w:sz="6" w:space="0"/>
            </w:tcBorders>
            <w:noWrap w:val="0"/>
            <w:vAlign w:val="top"/>
          </w:tcPr>
          <w:p>
            <w:pPr>
              <w:pStyle w:val="25"/>
              <w:spacing w:line="360" w:lineRule="auto"/>
              <w:ind w:left="105" w:leftChars="0" w:right="83" w:rightChars="0"/>
              <w:jc w:val="center"/>
              <w:rPr>
                <w:sz w:val="21"/>
                <w:szCs w:val="21"/>
              </w:rPr>
            </w:pPr>
            <w:r>
              <w:rPr>
                <w:sz w:val="21"/>
                <w:szCs w:val="21"/>
              </w:rPr>
              <w:t>符合磋商文件采购需求中付款方式、供货及安装期限、供货及安装地点、免费质保期的要求</w:t>
            </w:r>
          </w:p>
        </w:tc>
        <w:tc>
          <w:tcPr>
            <w:tcW w:w="3869" w:type="dxa"/>
            <w:tcBorders>
              <w:left w:val="single" w:color="000000" w:sz="6" w:space="0"/>
            </w:tcBorders>
            <w:noWrap w:val="0"/>
            <w:vAlign w:val="top"/>
          </w:tcPr>
          <w:p>
            <w:pPr>
              <w:pStyle w:val="25"/>
              <w:spacing w:before="2" w:line="360" w:lineRule="auto"/>
              <w:rPr>
                <w:sz w:val="21"/>
                <w:szCs w:val="21"/>
              </w:rPr>
            </w:pPr>
          </w:p>
          <w:p>
            <w:pPr>
              <w:pStyle w:val="25"/>
              <w:spacing w:before="1" w:line="360" w:lineRule="auto"/>
              <w:ind w:left="106" w:leftChars="0" w:right="267" w:rightChars="0"/>
              <w:rPr>
                <w:sz w:val="21"/>
                <w:szCs w:val="21"/>
              </w:rPr>
            </w:pPr>
            <w:r>
              <w:rPr>
                <w:sz w:val="21"/>
                <w:szCs w:val="21"/>
              </w:rPr>
              <w:t>详见第六章响应文件格式六（6.1 商务响应表）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1" w:hRule="atLeast"/>
        </w:trPr>
        <w:tc>
          <w:tcPr>
            <w:tcW w:w="667" w:type="dxa"/>
            <w:noWrap w:val="0"/>
            <w:vAlign w:val="top"/>
          </w:tcPr>
          <w:p>
            <w:pPr>
              <w:pStyle w:val="25"/>
              <w:spacing w:before="216" w:line="360" w:lineRule="auto"/>
              <w:ind w:left="102" w:right="83"/>
              <w:jc w:val="center"/>
              <w:rPr>
                <w:rFonts w:hint="default"/>
                <w:sz w:val="21"/>
                <w:szCs w:val="21"/>
                <w:lang w:val="en-US" w:eastAsia="zh-CN"/>
              </w:rPr>
            </w:pPr>
            <w:r>
              <w:rPr>
                <w:rFonts w:hint="eastAsia"/>
                <w:sz w:val="21"/>
                <w:szCs w:val="21"/>
                <w:lang w:val="en-US" w:eastAsia="zh-CN"/>
              </w:rPr>
              <w:t>8</w:t>
            </w:r>
          </w:p>
        </w:tc>
        <w:tc>
          <w:tcPr>
            <w:tcW w:w="1702" w:type="dxa"/>
            <w:noWrap w:val="0"/>
            <w:vAlign w:val="top"/>
          </w:tcPr>
          <w:p>
            <w:pPr>
              <w:pStyle w:val="25"/>
              <w:spacing w:before="166" w:line="360" w:lineRule="auto"/>
              <w:ind w:left="107" w:leftChars="0" w:right="91" w:rightChars="0"/>
              <w:jc w:val="center"/>
              <w:rPr>
                <w:sz w:val="21"/>
                <w:szCs w:val="21"/>
                <w:lang w:eastAsia="en-US"/>
              </w:rPr>
            </w:pPr>
            <w:r>
              <w:rPr>
                <w:rFonts w:hint="eastAsia"/>
                <w:b/>
                <w:bCs/>
                <w:sz w:val="21"/>
                <w:szCs w:val="21"/>
                <w:lang w:eastAsia="en-US"/>
              </w:rPr>
              <w:t>技术响应情况</w:t>
            </w:r>
          </w:p>
        </w:tc>
        <w:tc>
          <w:tcPr>
            <w:tcW w:w="2258" w:type="dxa"/>
            <w:tcBorders>
              <w:right w:val="single" w:color="000000" w:sz="6" w:space="0"/>
            </w:tcBorders>
            <w:noWrap w:val="0"/>
            <w:vAlign w:val="top"/>
          </w:tcPr>
          <w:p>
            <w:pPr>
              <w:keepNext w:val="0"/>
              <w:keepLines w:val="0"/>
              <w:widowControl/>
              <w:suppressLineNumbers w:val="0"/>
              <w:jc w:val="left"/>
              <w:rPr>
                <w:b/>
                <w:bCs/>
              </w:rPr>
            </w:pPr>
            <w:r>
              <w:rPr>
                <w:rFonts w:hint="eastAsia" w:ascii="宋体" w:hAnsi="宋体" w:eastAsia="宋体" w:cs="宋体"/>
                <w:b/>
                <w:bCs/>
                <w:color w:val="000000"/>
                <w:kern w:val="0"/>
                <w:sz w:val="21"/>
                <w:szCs w:val="21"/>
                <w:lang w:val="en-US" w:eastAsia="zh-CN" w:bidi="ar"/>
              </w:rPr>
              <w:t xml:space="preserve">符合招标文件采购需求 </w:t>
            </w:r>
          </w:p>
          <w:p>
            <w:pPr>
              <w:keepNext w:val="0"/>
              <w:keepLines w:val="0"/>
              <w:widowControl/>
              <w:suppressLineNumbers w:val="0"/>
              <w:jc w:val="left"/>
              <w:rPr>
                <w:b/>
                <w:bCs/>
              </w:rPr>
            </w:pPr>
            <w:r>
              <w:rPr>
                <w:rFonts w:hint="eastAsia" w:ascii="宋体" w:hAnsi="宋体" w:eastAsia="宋体" w:cs="宋体"/>
                <w:b/>
                <w:bCs/>
                <w:color w:val="000000"/>
                <w:kern w:val="0"/>
                <w:sz w:val="21"/>
                <w:szCs w:val="21"/>
                <w:lang w:val="en-US" w:eastAsia="zh-CN" w:bidi="ar"/>
              </w:rPr>
              <w:t>中对非“★”项目的技术要求。</w:t>
            </w:r>
          </w:p>
          <w:p>
            <w:pPr>
              <w:pStyle w:val="25"/>
              <w:spacing w:before="8" w:line="360" w:lineRule="auto"/>
              <w:ind w:left="172" w:leftChars="0" w:right="150" w:rightChars="0"/>
              <w:rPr>
                <w:b/>
                <w:bCs/>
                <w:sz w:val="21"/>
                <w:szCs w:val="21"/>
              </w:rPr>
            </w:pPr>
          </w:p>
        </w:tc>
        <w:tc>
          <w:tcPr>
            <w:tcW w:w="3869" w:type="dxa"/>
            <w:tcBorders>
              <w:left w:val="single" w:color="000000" w:sz="6" w:space="0"/>
            </w:tcBorders>
            <w:noWrap w:val="0"/>
            <w:vAlign w:val="top"/>
          </w:tcPr>
          <w:p>
            <w:pPr>
              <w:keepNext w:val="0"/>
              <w:keepLines w:val="0"/>
              <w:widowControl/>
              <w:suppressLineNumbers w:val="0"/>
              <w:jc w:val="left"/>
              <w:rPr>
                <w:b/>
                <w:bCs/>
              </w:rPr>
            </w:pPr>
            <w:r>
              <w:rPr>
                <w:rFonts w:hint="eastAsia" w:ascii="宋体" w:hAnsi="宋体" w:eastAsia="宋体" w:cs="宋体"/>
                <w:b/>
                <w:bCs/>
                <w:color w:val="000000"/>
                <w:kern w:val="0"/>
                <w:sz w:val="21"/>
                <w:szCs w:val="21"/>
                <w:lang w:val="en-US" w:eastAsia="zh-CN" w:bidi="ar"/>
              </w:rPr>
              <w:t xml:space="preserve">提供承诺函，格式投标人自拟。 </w:t>
            </w:r>
          </w:p>
          <w:p>
            <w:pPr>
              <w:pStyle w:val="25"/>
              <w:spacing w:line="360" w:lineRule="auto"/>
              <w:rPr>
                <w:rFonts w:hint="eastAsia"/>
                <w:b/>
                <w:bC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1" w:hRule="atLeast"/>
        </w:trPr>
        <w:tc>
          <w:tcPr>
            <w:tcW w:w="667" w:type="dxa"/>
            <w:noWrap w:val="0"/>
            <w:vAlign w:val="top"/>
          </w:tcPr>
          <w:p>
            <w:pPr>
              <w:pStyle w:val="25"/>
              <w:spacing w:before="216" w:line="360" w:lineRule="auto"/>
              <w:ind w:left="102" w:right="83"/>
              <w:jc w:val="center"/>
              <w:rPr>
                <w:rFonts w:hint="eastAsia" w:eastAsia="宋体"/>
                <w:sz w:val="21"/>
                <w:szCs w:val="21"/>
                <w:lang w:val="en-US" w:eastAsia="zh-CN"/>
              </w:rPr>
            </w:pPr>
            <w:r>
              <w:rPr>
                <w:rFonts w:hint="eastAsia"/>
                <w:sz w:val="21"/>
                <w:szCs w:val="21"/>
                <w:lang w:val="en-US" w:eastAsia="zh-CN"/>
              </w:rPr>
              <w:t>9</w:t>
            </w:r>
          </w:p>
        </w:tc>
        <w:tc>
          <w:tcPr>
            <w:tcW w:w="1702" w:type="dxa"/>
            <w:noWrap w:val="0"/>
            <w:vAlign w:val="top"/>
          </w:tcPr>
          <w:p>
            <w:pPr>
              <w:pStyle w:val="25"/>
              <w:spacing w:line="360" w:lineRule="auto"/>
              <w:rPr>
                <w:sz w:val="21"/>
                <w:szCs w:val="21"/>
                <w:lang w:eastAsia="en-US"/>
              </w:rPr>
            </w:pPr>
          </w:p>
          <w:p>
            <w:pPr>
              <w:pStyle w:val="25"/>
              <w:spacing w:before="166" w:line="360" w:lineRule="auto"/>
              <w:ind w:left="107" w:leftChars="0" w:right="91" w:rightChars="0"/>
              <w:jc w:val="center"/>
              <w:rPr>
                <w:sz w:val="21"/>
                <w:szCs w:val="21"/>
                <w:lang w:eastAsia="en-US"/>
              </w:rPr>
            </w:pPr>
            <w:r>
              <w:rPr>
                <w:sz w:val="21"/>
                <w:szCs w:val="21"/>
                <w:lang w:eastAsia="en-US"/>
              </w:rPr>
              <w:t>其他要求</w:t>
            </w:r>
          </w:p>
        </w:tc>
        <w:tc>
          <w:tcPr>
            <w:tcW w:w="2258" w:type="dxa"/>
            <w:tcBorders>
              <w:right w:val="single" w:color="000000" w:sz="6" w:space="0"/>
            </w:tcBorders>
            <w:noWrap w:val="0"/>
            <w:vAlign w:val="top"/>
          </w:tcPr>
          <w:p>
            <w:pPr>
              <w:pStyle w:val="25"/>
              <w:spacing w:line="360" w:lineRule="auto"/>
              <w:ind w:left="172" w:hanging="68"/>
              <w:rPr>
                <w:sz w:val="21"/>
                <w:szCs w:val="21"/>
              </w:rPr>
            </w:pPr>
            <w:r>
              <w:rPr>
                <w:sz w:val="21"/>
                <w:szCs w:val="21"/>
              </w:rPr>
              <w:t>符合法律、行政法规</w:t>
            </w:r>
          </w:p>
          <w:p>
            <w:pPr>
              <w:pStyle w:val="25"/>
              <w:spacing w:before="8" w:line="360" w:lineRule="auto"/>
              <w:ind w:left="172" w:leftChars="0" w:right="150" w:rightChars="0"/>
              <w:rPr>
                <w:sz w:val="21"/>
                <w:szCs w:val="21"/>
              </w:rPr>
            </w:pPr>
            <w:r>
              <w:rPr>
                <w:sz w:val="21"/>
                <w:szCs w:val="21"/>
              </w:rPr>
              <w:t>规定的其他条件或磋商文件列明的其他要求</w:t>
            </w:r>
          </w:p>
        </w:tc>
        <w:tc>
          <w:tcPr>
            <w:tcW w:w="3869" w:type="dxa"/>
            <w:tcBorders>
              <w:left w:val="single" w:color="000000" w:sz="6" w:space="0"/>
            </w:tcBorders>
            <w:noWrap w:val="0"/>
            <w:vAlign w:val="top"/>
          </w:tcPr>
          <w:p>
            <w:pPr>
              <w:pStyle w:val="25"/>
              <w:spacing w:line="360" w:lineRule="auto"/>
              <w:rPr>
                <w:rFonts w:hint="eastAsia"/>
              </w:rPr>
            </w:pPr>
          </w:p>
        </w:tc>
      </w:tr>
    </w:tbl>
    <w:p>
      <w:pPr>
        <w:pStyle w:val="11"/>
        <w:spacing w:before="9" w:line="360" w:lineRule="auto"/>
        <w:rPr>
          <w:sz w:val="21"/>
          <w:szCs w:val="21"/>
        </w:rPr>
      </w:pPr>
    </w:p>
    <w:p>
      <w:pPr>
        <w:spacing w:before="1" w:line="360" w:lineRule="auto"/>
        <w:ind w:left="1009"/>
        <w:rPr>
          <w:rFonts w:ascii="宋体" w:hAnsi="宋体"/>
        </w:rPr>
      </w:pPr>
      <w:r>
        <w:rPr>
          <w:rFonts w:ascii="宋体" w:hAnsi="宋体"/>
          <w:b/>
        </w:rPr>
        <w:t>初审指标通过标准：</w:t>
      </w:r>
      <w:r>
        <w:rPr>
          <w:rFonts w:ascii="宋体" w:hAnsi="宋体"/>
        </w:rPr>
        <w:t>供应商必须通过初审表中的全部评审指标。</w:t>
      </w:r>
    </w:p>
    <w:p>
      <w:pPr>
        <w:pStyle w:val="2"/>
        <w:rPr>
          <w:rFonts w:ascii="宋体" w:hAnsi="宋体"/>
        </w:rPr>
      </w:pPr>
    </w:p>
    <w:p>
      <w:r>
        <w:br w:type="page"/>
      </w:r>
    </w:p>
    <w:p>
      <w:pPr>
        <w:pStyle w:val="9"/>
        <w:keepNext w:val="0"/>
        <w:keepLines w:val="0"/>
        <w:numPr>
          <w:ilvl w:val="1"/>
          <w:numId w:val="21"/>
        </w:numPr>
        <w:tabs>
          <w:tab w:val="left" w:pos="1434"/>
        </w:tabs>
        <w:autoSpaceDE w:val="0"/>
        <w:autoSpaceDN w:val="0"/>
        <w:spacing w:before="158" w:after="0" w:line="360" w:lineRule="auto"/>
        <w:ind w:left="1434" w:hanging="425"/>
        <w:rPr>
          <w:rFonts w:ascii="宋体" w:hAnsi="宋体"/>
          <w:b w:val="0"/>
          <w:sz w:val="21"/>
          <w:szCs w:val="21"/>
        </w:rPr>
      </w:pPr>
      <w:r>
        <w:rPr>
          <w:rFonts w:ascii="宋体" w:hAnsi="宋体"/>
          <w:b w:val="0"/>
          <w:sz w:val="21"/>
          <w:szCs w:val="21"/>
        </w:rPr>
        <w:t>综合评分</w:t>
      </w:r>
    </w:p>
    <w:p>
      <w:pPr>
        <w:pStyle w:val="26"/>
        <w:numPr>
          <w:ilvl w:val="2"/>
          <w:numId w:val="21"/>
        </w:numPr>
        <w:tabs>
          <w:tab w:val="left" w:pos="1653"/>
        </w:tabs>
        <w:autoSpaceDE w:val="0"/>
        <w:autoSpaceDN w:val="0"/>
        <w:spacing w:before="160" w:line="360" w:lineRule="auto"/>
        <w:ind w:right="570" w:firstLine="434" w:firstLineChars="0"/>
        <w:rPr>
          <w:rFonts w:ascii="宋体" w:hAnsi="宋体"/>
          <w:szCs w:val="21"/>
        </w:rPr>
      </w:pPr>
      <w:r>
        <w:rPr>
          <w:rFonts w:ascii="宋体" w:hAnsi="宋体"/>
          <w:szCs w:val="21"/>
        </w:rPr>
        <w:t>磋商小组按照下表对进入综合评分的所有供应商的响应文件进行综合评分。</w:t>
      </w:r>
    </w:p>
    <w:p>
      <w:pPr>
        <w:pStyle w:val="26"/>
        <w:numPr>
          <w:ilvl w:val="2"/>
          <w:numId w:val="21"/>
        </w:numPr>
        <w:tabs>
          <w:tab w:val="left" w:pos="1670"/>
        </w:tabs>
        <w:autoSpaceDE w:val="0"/>
        <w:autoSpaceDN w:val="0"/>
        <w:spacing w:before="160" w:line="360" w:lineRule="auto"/>
        <w:ind w:right="570" w:firstLine="434" w:firstLineChars="0"/>
        <w:rPr>
          <w:rFonts w:ascii="宋体" w:hAnsi="宋体"/>
          <w:szCs w:val="21"/>
        </w:rPr>
      </w:pPr>
      <w:r>
        <w:rPr>
          <w:rFonts w:ascii="宋体" w:hAnsi="宋体"/>
          <w:szCs w:val="21"/>
        </w:rPr>
        <w:t>本项目综合评分满分为 100 分，其中：技术资信分值占总分值的权重</w:t>
      </w:r>
      <w:r>
        <w:rPr>
          <w:rFonts w:hint="eastAsia" w:ascii="宋体" w:hAnsi="宋体"/>
          <w:szCs w:val="21"/>
          <w:u w:val="single"/>
          <w:lang w:val="en-US" w:eastAsia="zh-CN"/>
        </w:rPr>
        <w:t>70</w:t>
      </w:r>
      <w:r>
        <w:rPr>
          <w:rFonts w:ascii="宋体" w:hAnsi="宋体"/>
          <w:szCs w:val="21"/>
        </w:rPr>
        <w:t>%，价格分值占总分值的权重为</w:t>
      </w:r>
      <w:r>
        <w:rPr>
          <w:rFonts w:ascii="宋体" w:hAnsi="宋体"/>
          <w:szCs w:val="21"/>
          <w:u w:val="single"/>
        </w:rPr>
        <w:t xml:space="preserve"> </w:t>
      </w:r>
      <w:r>
        <w:rPr>
          <w:rFonts w:hint="eastAsia" w:ascii="宋体" w:hAnsi="宋体"/>
          <w:szCs w:val="21"/>
          <w:u w:val="single"/>
          <w:lang w:val="en-US" w:eastAsia="zh-CN"/>
        </w:rPr>
        <w:t>30</w:t>
      </w:r>
      <w:r>
        <w:rPr>
          <w:rFonts w:ascii="宋体" w:hAnsi="宋体"/>
          <w:szCs w:val="21"/>
        </w:rPr>
        <w:t>%。</w:t>
      </w:r>
      <w:r>
        <w:rPr>
          <w:rFonts w:hint="eastAsia" w:ascii="宋体" w:hAnsi="宋体"/>
          <w:szCs w:val="21"/>
        </w:rPr>
        <w:t>（价格分值占总分值的比重(即权值)为30%至60%。）《竞争性磋商管理办法规定》</w:t>
      </w:r>
      <w:r>
        <w:rPr>
          <w:rFonts w:ascii="宋体" w:hAnsi="宋体"/>
          <w:szCs w:val="21"/>
        </w:rPr>
        <w:t>具体评分细则如下：</w:t>
      </w:r>
    </w:p>
    <w:tbl>
      <w:tblPr>
        <w:tblStyle w:val="19"/>
        <w:tblW w:w="8501" w:type="dxa"/>
        <w:tblInd w:w="4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74"/>
        <w:gridCol w:w="1715"/>
        <w:gridCol w:w="3736"/>
        <w:gridCol w:w="15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474" w:type="dxa"/>
            <w:noWrap w:val="0"/>
            <w:vAlign w:val="top"/>
          </w:tcPr>
          <w:p>
            <w:pPr>
              <w:pStyle w:val="25"/>
              <w:spacing w:line="360" w:lineRule="auto"/>
              <w:ind w:left="494"/>
              <w:rPr>
                <w:rFonts w:hint="eastAsia" w:ascii="宋体" w:hAnsi="宋体" w:eastAsia="宋体" w:cs="宋体"/>
                <w:b/>
                <w:sz w:val="21"/>
                <w:szCs w:val="21"/>
                <w:lang w:eastAsia="en-US"/>
              </w:rPr>
            </w:pPr>
            <w:r>
              <w:rPr>
                <w:rFonts w:hint="eastAsia" w:ascii="宋体" w:hAnsi="宋体" w:eastAsia="宋体" w:cs="宋体"/>
                <w:b/>
                <w:sz w:val="21"/>
                <w:szCs w:val="21"/>
                <w:lang w:eastAsia="en-US"/>
              </w:rPr>
              <w:t>类别</w:t>
            </w:r>
          </w:p>
        </w:tc>
        <w:tc>
          <w:tcPr>
            <w:tcW w:w="1715" w:type="dxa"/>
            <w:noWrap w:val="0"/>
            <w:vAlign w:val="top"/>
          </w:tcPr>
          <w:p>
            <w:pPr>
              <w:pStyle w:val="25"/>
              <w:spacing w:line="360" w:lineRule="auto"/>
              <w:ind w:left="115" w:right="109"/>
              <w:jc w:val="center"/>
              <w:rPr>
                <w:rFonts w:hint="eastAsia" w:ascii="宋体" w:hAnsi="宋体" w:eastAsia="宋体" w:cs="宋体"/>
                <w:b/>
                <w:sz w:val="21"/>
                <w:szCs w:val="21"/>
                <w:lang w:eastAsia="en-US"/>
              </w:rPr>
            </w:pPr>
            <w:r>
              <w:rPr>
                <w:rFonts w:hint="eastAsia" w:ascii="宋体" w:hAnsi="宋体" w:eastAsia="宋体" w:cs="宋体"/>
                <w:b/>
                <w:sz w:val="21"/>
                <w:szCs w:val="21"/>
                <w:lang w:eastAsia="en-US"/>
              </w:rPr>
              <w:t>评分内容</w:t>
            </w:r>
          </w:p>
        </w:tc>
        <w:tc>
          <w:tcPr>
            <w:tcW w:w="3736" w:type="dxa"/>
            <w:noWrap w:val="0"/>
            <w:vAlign w:val="top"/>
          </w:tcPr>
          <w:p>
            <w:pPr>
              <w:pStyle w:val="25"/>
              <w:spacing w:line="360" w:lineRule="auto"/>
              <w:ind w:left="1363" w:right="1359"/>
              <w:jc w:val="center"/>
              <w:rPr>
                <w:rFonts w:hint="eastAsia" w:ascii="宋体" w:hAnsi="宋体" w:eastAsia="宋体" w:cs="宋体"/>
                <w:b/>
                <w:sz w:val="21"/>
                <w:szCs w:val="21"/>
                <w:lang w:eastAsia="en-US"/>
              </w:rPr>
            </w:pPr>
            <w:r>
              <w:rPr>
                <w:rFonts w:hint="eastAsia" w:ascii="宋体" w:hAnsi="宋体" w:eastAsia="宋体" w:cs="宋体"/>
                <w:b/>
                <w:sz w:val="21"/>
                <w:szCs w:val="21"/>
                <w:lang w:eastAsia="en-US"/>
              </w:rPr>
              <w:t>评分标准</w:t>
            </w:r>
          </w:p>
        </w:tc>
        <w:tc>
          <w:tcPr>
            <w:tcW w:w="1576" w:type="dxa"/>
            <w:noWrap w:val="0"/>
            <w:vAlign w:val="top"/>
          </w:tcPr>
          <w:p>
            <w:pPr>
              <w:pStyle w:val="25"/>
              <w:spacing w:line="360" w:lineRule="auto"/>
              <w:ind w:left="280" w:right="281"/>
              <w:jc w:val="center"/>
              <w:rPr>
                <w:rFonts w:hint="eastAsia" w:ascii="宋体" w:hAnsi="宋体" w:eastAsia="宋体" w:cs="宋体"/>
                <w:b/>
                <w:sz w:val="21"/>
                <w:szCs w:val="21"/>
                <w:lang w:eastAsia="en-US"/>
              </w:rPr>
            </w:pPr>
            <w:r>
              <w:rPr>
                <w:rFonts w:hint="eastAsia" w:ascii="宋体" w:hAnsi="宋体" w:eastAsia="宋体" w:cs="宋体"/>
                <w:b/>
                <w:sz w:val="21"/>
                <w:szCs w:val="21"/>
                <w:lang w:eastAsia="en-US"/>
              </w:rPr>
              <w:t>分值范围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65" w:hRule="atLeast"/>
        </w:trPr>
        <w:tc>
          <w:tcPr>
            <w:tcW w:w="1474" w:type="dxa"/>
            <w:vMerge w:val="restart"/>
            <w:noWrap w:val="0"/>
            <w:vAlign w:val="top"/>
          </w:tcPr>
          <w:p>
            <w:pPr>
              <w:pStyle w:val="25"/>
              <w:spacing w:line="360" w:lineRule="auto"/>
              <w:rPr>
                <w:rFonts w:hint="eastAsia" w:ascii="宋体" w:hAnsi="宋体" w:eastAsia="宋体" w:cs="宋体"/>
                <w:sz w:val="21"/>
                <w:szCs w:val="21"/>
                <w:lang w:eastAsia="en-US"/>
              </w:rPr>
            </w:pPr>
          </w:p>
          <w:p>
            <w:pPr>
              <w:pStyle w:val="25"/>
              <w:spacing w:line="360" w:lineRule="auto"/>
              <w:rPr>
                <w:rFonts w:hint="eastAsia" w:ascii="宋体" w:hAnsi="宋体" w:eastAsia="宋体" w:cs="宋体"/>
                <w:sz w:val="21"/>
                <w:szCs w:val="21"/>
                <w:lang w:eastAsia="en-US"/>
              </w:rPr>
            </w:pPr>
          </w:p>
          <w:p>
            <w:pPr>
              <w:pStyle w:val="25"/>
              <w:spacing w:line="360" w:lineRule="auto"/>
              <w:rPr>
                <w:rFonts w:hint="eastAsia" w:ascii="宋体" w:hAnsi="宋体" w:eastAsia="宋体" w:cs="宋体"/>
                <w:sz w:val="21"/>
                <w:szCs w:val="21"/>
                <w:lang w:eastAsia="en-US"/>
              </w:rPr>
            </w:pPr>
          </w:p>
          <w:p>
            <w:pPr>
              <w:pStyle w:val="25"/>
              <w:spacing w:line="360" w:lineRule="auto"/>
              <w:rPr>
                <w:rFonts w:hint="eastAsia" w:ascii="宋体" w:hAnsi="宋体" w:eastAsia="宋体" w:cs="宋体"/>
                <w:sz w:val="21"/>
                <w:szCs w:val="21"/>
                <w:lang w:eastAsia="en-US"/>
              </w:rPr>
            </w:pPr>
          </w:p>
          <w:p>
            <w:pPr>
              <w:pStyle w:val="25"/>
              <w:spacing w:line="360" w:lineRule="auto"/>
              <w:rPr>
                <w:rFonts w:hint="eastAsia" w:ascii="宋体" w:hAnsi="宋体" w:eastAsia="宋体" w:cs="宋体"/>
                <w:sz w:val="21"/>
                <w:szCs w:val="21"/>
                <w:lang w:eastAsia="en-US"/>
              </w:rPr>
            </w:pPr>
          </w:p>
          <w:p>
            <w:pPr>
              <w:pStyle w:val="25"/>
              <w:spacing w:line="360" w:lineRule="auto"/>
              <w:rPr>
                <w:rFonts w:hint="eastAsia" w:ascii="宋体" w:hAnsi="宋体" w:eastAsia="宋体" w:cs="宋体"/>
                <w:sz w:val="21"/>
                <w:szCs w:val="21"/>
                <w:lang w:eastAsia="en-US"/>
              </w:rPr>
            </w:pPr>
          </w:p>
          <w:p>
            <w:pPr>
              <w:pStyle w:val="25"/>
              <w:spacing w:line="360" w:lineRule="auto"/>
              <w:rPr>
                <w:rFonts w:hint="eastAsia" w:ascii="宋体" w:hAnsi="宋体" w:eastAsia="宋体" w:cs="宋体"/>
                <w:sz w:val="21"/>
                <w:szCs w:val="21"/>
                <w:lang w:eastAsia="en-US"/>
              </w:rPr>
            </w:pPr>
          </w:p>
          <w:p>
            <w:pPr>
              <w:pStyle w:val="25"/>
              <w:spacing w:line="360" w:lineRule="auto"/>
              <w:rPr>
                <w:rFonts w:hint="eastAsia" w:ascii="宋体" w:hAnsi="宋体" w:eastAsia="宋体" w:cs="宋体"/>
                <w:sz w:val="21"/>
                <w:szCs w:val="21"/>
              </w:rPr>
            </w:pPr>
          </w:p>
          <w:p>
            <w:pPr>
              <w:pStyle w:val="25"/>
              <w:spacing w:before="8" w:line="360" w:lineRule="auto"/>
              <w:rPr>
                <w:rFonts w:hint="eastAsia" w:ascii="宋体" w:hAnsi="宋体" w:eastAsia="宋体" w:cs="宋体"/>
                <w:sz w:val="21"/>
                <w:szCs w:val="21"/>
                <w:lang w:eastAsia="en-US"/>
              </w:rPr>
            </w:pPr>
          </w:p>
          <w:p>
            <w:pPr>
              <w:pStyle w:val="25"/>
              <w:spacing w:line="360" w:lineRule="auto"/>
              <w:ind w:left="136"/>
              <w:rPr>
                <w:rFonts w:hint="eastAsia" w:ascii="宋体" w:hAnsi="宋体" w:eastAsia="宋体" w:cs="宋体"/>
                <w:sz w:val="21"/>
                <w:szCs w:val="21"/>
                <w:lang w:eastAsia="en-US"/>
              </w:rPr>
            </w:pPr>
            <w:r>
              <w:rPr>
                <w:rFonts w:hint="eastAsia" w:ascii="宋体" w:hAnsi="宋体" w:eastAsia="宋体" w:cs="宋体"/>
                <w:sz w:val="21"/>
                <w:szCs w:val="21"/>
                <w:lang w:eastAsia="en-US"/>
              </w:rPr>
              <w:t>技术资信分</w:t>
            </w:r>
          </w:p>
          <w:p>
            <w:pPr>
              <w:pStyle w:val="25"/>
              <w:tabs>
                <w:tab w:val="left" w:pos="796"/>
              </w:tabs>
              <w:spacing w:before="161" w:line="360" w:lineRule="auto"/>
              <w:ind w:left="196"/>
              <w:rPr>
                <w:rFonts w:hint="eastAsia" w:ascii="宋体" w:hAnsi="宋体" w:eastAsia="宋体" w:cs="宋体"/>
                <w:sz w:val="21"/>
                <w:szCs w:val="21"/>
                <w:lang w:eastAsia="en-US"/>
              </w:rPr>
            </w:pPr>
            <w:r>
              <w:rPr>
                <w:rFonts w:hint="eastAsia" w:ascii="宋体" w:hAnsi="宋体" w:eastAsia="宋体" w:cs="宋体"/>
                <w:sz w:val="21"/>
                <w:szCs w:val="21"/>
                <w:lang w:eastAsia="en-US"/>
              </w:rPr>
              <w:t>（</w:t>
            </w:r>
            <w:r>
              <w:rPr>
                <w:rFonts w:hint="eastAsia" w:ascii="宋体" w:hAnsi="宋体" w:eastAsia="宋体" w:cs="宋体"/>
                <w:sz w:val="21"/>
                <w:szCs w:val="21"/>
                <w:u w:val="single"/>
                <w:lang w:eastAsia="en-US"/>
              </w:rPr>
              <w:t xml:space="preserve"> </w:t>
            </w:r>
            <w:r>
              <w:rPr>
                <w:rFonts w:hint="eastAsia" w:ascii="宋体" w:hAnsi="宋体" w:eastAsia="宋体" w:cs="宋体"/>
                <w:sz w:val="21"/>
                <w:szCs w:val="21"/>
                <w:u w:val="single"/>
                <w:lang w:val="en-US" w:eastAsia="zh-CN"/>
              </w:rPr>
              <w:t>70</w:t>
            </w:r>
            <w:r>
              <w:rPr>
                <w:rFonts w:hint="eastAsia" w:ascii="宋体" w:hAnsi="宋体" w:eastAsia="宋体" w:cs="宋体"/>
                <w:sz w:val="21"/>
                <w:szCs w:val="21"/>
                <w:u w:val="single"/>
                <w:lang w:eastAsia="en-US"/>
              </w:rPr>
              <w:tab/>
            </w:r>
            <w:r>
              <w:rPr>
                <w:rFonts w:hint="eastAsia" w:ascii="宋体" w:hAnsi="宋体" w:eastAsia="宋体" w:cs="宋体"/>
                <w:sz w:val="21"/>
                <w:szCs w:val="21"/>
                <w:lang w:eastAsia="en-US"/>
              </w:rPr>
              <w:t>分）</w:t>
            </w:r>
          </w:p>
        </w:tc>
        <w:tc>
          <w:tcPr>
            <w:tcW w:w="1715" w:type="dxa"/>
            <w:noWrap w:val="0"/>
            <w:vAlign w:val="top"/>
          </w:tcPr>
          <w:p>
            <w:pPr>
              <w:pStyle w:val="25"/>
              <w:spacing w:line="360" w:lineRule="auto"/>
              <w:ind w:left="116" w:right="109"/>
              <w:jc w:val="center"/>
              <w:rPr>
                <w:rFonts w:hint="eastAsia" w:ascii="宋体" w:hAnsi="宋体" w:eastAsia="宋体" w:cs="宋体"/>
                <w:sz w:val="21"/>
                <w:szCs w:val="21"/>
                <w:lang w:eastAsia="en-US"/>
              </w:rPr>
            </w:pPr>
            <w:r>
              <w:rPr>
                <w:rFonts w:hint="eastAsia" w:ascii="宋体" w:hAnsi="宋体" w:eastAsia="宋体" w:cs="宋体"/>
                <w:sz w:val="21"/>
                <w:szCs w:val="21"/>
                <w:lang w:eastAsia="en-US"/>
              </w:rPr>
              <w:t>技术参数</w:t>
            </w:r>
          </w:p>
        </w:tc>
        <w:tc>
          <w:tcPr>
            <w:tcW w:w="3736" w:type="dxa"/>
            <w:noWrap w:val="0"/>
            <w:vAlign w:val="top"/>
          </w:tcPr>
          <w:p>
            <w:pPr>
              <w:pStyle w:val="25"/>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评标委员会根据投标人所投产品技术参数及要求的响应情况进行评分。</w:t>
            </w:r>
          </w:p>
          <w:p>
            <w:pPr>
              <w:pStyle w:val="25"/>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标注“★”的条款为重要指标项，每满足一项得 1分，共 </w:t>
            </w:r>
            <w:r>
              <w:rPr>
                <w:rFonts w:hint="eastAsia" w:cs="宋体"/>
                <w:sz w:val="21"/>
                <w:szCs w:val="21"/>
                <w:lang w:val="en-US" w:eastAsia="zh-CN"/>
              </w:rPr>
              <w:t>12</w:t>
            </w:r>
            <w:r>
              <w:rPr>
                <w:rFonts w:hint="eastAsia" w:ascii="宋体" w:hAnsi="宋体" w:eastAsia="宋体" w:cs="宋体"/>
                <w:sz w:val="21"/>
                <w:szCs w:val="21"/>
                <w:lang w:val="en-US" w:eastAsia="zh-CN"/>
              </w:rPr>
              <w:t>项，满分</w:t>
            </w:r>
            <w:r>
              <w:rPr>
                <w:rFonts w:hint="eastAsia" w:cs="宋体"/>
                <w:sz w:val="21"/>
                <w:szCs w:val="21"/>
                <w:lang w:val="en-US" w:eastAsia="zh-CN"/>
              </w:rPr>
              <w:t>12</w:t>
            </w:r>
            <w:r>
              <w:rPr>
                <w:rFonts w:hint="eastAsia" w:ascii="宋体" w:hAnsi="宋体" w:eastAsia="宋体" w:cs="宋体"/>
                <w:sz w:val="21"/>
                <w:szCs w:val="21"/>
                <w:lang w:val="en-US" w:eastAsia="zh-CN"/>
              </w:rPr>
              <w:t>分。</w:t>
            </w:r>
          </w:p>
          <w:p>
            <w:pPr>
              <w:pStyle w:val="25"/>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注：标注“★”技术参数中需要提供</w:t>
            </w:r>
            <w:r>
              <w:rPr>
                <w:rFonts w:hint="eastAsia" w:cs="宋体"/>
                <w:sz w:val="21"/>
                <w:szCs w:val="21"/>
                <w:lang w:val="en-US" w:eastAsia="zh-CN"/>
              </w:rPr>
              <w:t>检测报告的，提供检测报告，不需要提供检测报告的，须提供</w:t>
            </w:r>
            <w:r>
              <w:rPr>
                <w:rFonts w:hint="eastAsia" w:ascii="宋体" w:hAnsi="宋体" w:eastAsia="宋体" w:cs="宋体"/>
                <w:sz w:val="21"/>
                <w:szCs w:val="21"/>
                <w:lang w:val="en-US" w:eastAsia="zh-CN"/>
              </w:rPr>
              <w:t>相关证明材料，若发现中标人提供了虚假材料，采购人有权取消其中标资格，并上报主管部门依法做出相应处罚。</w:t>
            </w:r>
          </w:p>
        </w:tc>
        <w:tc>
          <w:tcPr>
            <w:tcW w:w="1576" w:type="dxa"/>
            <w:noWrap w:val="0"/>
            <w:vAlign w:val="top"/>
          </w:tcPr>
          <w:p>
            <w:pPr>
              <w:pStyle w:val="25"/>
              <w:spacing w:line="360" w:lineRule="auto"/>
              <w:ind w:left="280" w:right="279"/>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0-</w:t>
            </w:r>
            <w:r>
              <w:rPr>
                <w:rFonts w:hint="eastAsia" w:cs="宋体"/>
                <w:b/>
                <w:sz w:val="21"/>
                <w:szCs w:val="21"/>
                <w:lang w:val="en-US" w:eastAsia="zh-CN"/>
              </w:rPr>
              <w:t>12</w:t>
            </w:r>
            <w:r>
              <w:rPr>
                <w:rFonts w:hint="eastAsia" w:ascii="宋体" w:hAnsi="宋体" w:eastAsia="宋体" w:cs="宋体"/>
                <w:b/>
                <w:sz w:val="21"/>
                <w:szCs w:val="21"/>
                <w:lang w:val="en-US" w:eastAsia="zh-CN"/>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1474" w:type="dxa"/>
            <w:vMerge w:val="continue"/>
            <w:noWrap w:val="0"/>
            <w:vAlign w:val="top"/>
          </w:tcPr>
          <w:p>
            <w:pPr>
              <w:autoSpaceDE w:val="0"/>
              <w:autoSpaceDN w:val="0"/>
              <w:spacing w:line="360" w:lineRule="auto"/>
              <w:rPr>
                <w:rFonts w:hint="eastAsia" w:ascii="宋体" w:hAnsi="宋体" w:eastAsia="宋体" w:cs="宋体"/>
                <w:kern w:val="0"/>
                <w:sz w:val="21"/>
                <w:szCs w:val="21"/>
                <w:lang w:eastAsia="en-US"/>
              </w:rPr>
            </w:pPr>
          </w:p>
        </w:tc>
        <w:tc>
          <w:tcPr>
            <w:tcW w:w="1715" w:type="dxa"/>
            <w:noWrap w:val="0"/>
            <w:vAlign w:val="top"/>
          </w:tcPr>
          <w:p>
            <w:pPr>
              <w:pStyle w:val="25"/>
              <w:spacing w:before="2" w:line="360" w:lineRule="auto"/>
              <w:ind w:left="116" w:right="109"/>
              <w:jc w:val="center"/>
              <w:rPr>
                <w:rFonts w:hint="eastAsia" w:ascii="宋体" w:hAnsi="宋体" w:eastAsia="宋体" w:cs="宋体"/>
                <w:sz w:val="21"/>
                <w:szCs w:val="21"/>
              </w:rPr>
            </w:pPr>
            <w:r>
              <w:rPr>
                <w:rFonts w:hint="eastAsia" w:ascii="宋体" w:hAnsi="宋体" w:eastAsia="宋体" w:cs="宋体"/>
                <w:sz w:val="21"/>
                <w:szCs w:val="21"/>
              </w:rPr>
              <w:t>供货安装（调</w:t>
            </w:r>
          </w:p>
          <w:p>
            <w:pPr>
              <w:pStyle w:val="25"/>
              <w:spacing w:before="158" w:line="360" w:lineRule="auto"/>
              <w:ind w:left="116" w:right="109"/>
              <w:jc w:val="center"/>
              <w:rPr>
                <w:rFonts w:hint="eastAsia" w:ascii="宋体" w:hAnsi="宋体" w:eastAsia="宋体" w:cs="宋体"/>
                <w:sz w:val="21"/>
                <w:szCs w:val="21"/>
              </w:rPr>
            </w:pPr>
            <w:r>
              <w:rPr>
                <w:rFonts w:hint="eastAsia" w:ascii="宋体" w:hAnsi="宋体" w:eastAsia="宋体" w:cs="宋体"/>
                <w:sz w:val="21"/>
                <w:szCs w:val="21"/>
              </w:rPr>
              <w:t>试）方案</w:t>
            </w:r>
          </w:p>
        </w:tc>
        <w:tc>
          <w:tcPr>
            <w:tcW w:w="3736" w:type="dxa"/>
            <w:noWrap w:val="0"/>
            <w:vAlign w:val="top"/>
          </w:tcPr>
          <w:p>
            <w:pPr>
              <w:pStyle w:val="25"/>
              <w:spacing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1</w:t>
            </w:r>
            <w:r>
              <w:rPr>
                <w:rFonts w:hint="eastAsia" w:ascii="宋体" w:hAnsi="宋体" w:eastAsia="宋体" w:cs="宋体"/>
                <w:b/>
                <w:bCs/>
                <w:sz w:val="21"/>
                <w:szCs w:val="21"/>
              </w:rPr>
              <w:t xml:space="preserve">、供货方案 </w:t>
            </w:r>
          </w:p>
          <w:p>
            <w:pPr>
              <w:pStyle w:val="25"/>
              <w:spacing w:line="360" w:lineRule="auto"/>
              <w:rPr>
                <w:rFonts w:hint="eastAsia" w:ascii="宋体" w:hAnsi="宋体" w:eastAsia="宋体" w:cs="宋体"/>
                <w:sz w:val="21"/>
                <w:szCs w:val="21"/>
              </w:rPr>
            </w:pPr>
            <w:r>
              <w:rPr>
                <w:rFonts w:hint="eastAsia" w:ascii="宋体" w:hAnsi="宋体" w:eastAsia="宋体" w:cs="宋体"/>
                <w:sz w:val="21"/>
                <w:szCs w:val="21"/>
              </w:rPr>
              <w:t>结合采购需求，供应商就所投产品提供供货方案，包括产品需求分析、所投产品描述、供应链管理、供货计划、风险评估等。</w:t>
            </w:r>
          </w:p>
          <w:p>
            <w:pPr>
              <w:pStyle w:val="25"/>
              <w:spacing w:line="360" w:lineRule="auto"/>
              <w:rPr>
                <w:rFonts w:hint="eastAsia" w:ascii="宋体" w:hAnsi="宋体" w:eastAsia="宋体" w:cs="宋体"/>
                <w:b/>
                <w:bCs/>
                <w:sz w:val="21"/>
                <w:szCs w:val="21"/>
              </w:rPr>
            </w:pPr>
            <w:r>
              <w:rPr>
                <w:rFonts w:hint="eastAsia" w:ascii="宋体" w:hAnsi="宋体" w:eastAsia="宋体" w:cs="宋体"/>
                <w:sz w:val="21"/>
                <w:szCs w:val="21"/>
                <w:lang w:val="en-US" w:eastAsia="zh-CN"/>
              </w:rPr>
              <w:t>2</w:t>
            </w:r>
            <w:r>
              <w:rPr>
                <w:rFonts w:hint="eastAsia" w:ascii="宋体" w:hAnsi="宋体" w:eastAsia="宋体" w:cs="宋体"/>
                <w:b/>
                <w:bCs/>
                <w:sz w:val="21"/>
                <w:szCs w:val="21"/>
              </w:rPr>
              <w:t xml:space="preserve">、安装调试方案 </w:t>
            </w:r>
          </w:p>
          <w:p>
            <w:pPr>
              <w:pStyle w:val="25"/>
              <w:spacing w:line="360" w:lineRule="auto"/>
              <w:rPr>
                <w:rFonts w:hint="eastAsia" w:ascii="宋体" w:hAnsi="宋体" w:eastAsia="宋体" w:cs="宋体"/>
                <w:sz w:val="21"/>
                <w:szCs w:val="21"/>
              </w:rPr>
            </w:pPr>
            <w:r>
              <w:rPr>
                <w:rFonts w:hint="eastAsia" w:ascii="宋体" w:hAnsi="宋体" w:eastAsia="宋体" w:cs="宋体"/>
                <w:sz w:val="21"/>
                <w:szCs w:val="21"/>
              </w:rPr>
              <w:t>结合采购需求，供应商就所投产品提供安装调试方案，包括确定目标和要求、编制计划、准备工作、安装调试步骤、人员安全教育及相关安全措施等。</w:t>
            </w:r>
          </w:p>
          <w:p>
            <w:pPr>
              <w:pStyle w:val="25"/>
              <w:spacing w:line="360" w:lineRule="auto"/>
              <w:rPr>
                <w:rFonts w:hint="eastAsia" w:ascii="宋体" w:hAnsi="宋体" w:eastAsia="宋体" w:cs="宋体"/>
                <w:b/>
                <w:bCs/>
                <w:sz w:val="21"/>
                <w:szCs w:val="21"/>
              </w:rPr>
            </w:pPr>
            <w:r>
              <w:rPr>
                <w:rFonts w:hint="eastAsia" w:cs="宋体"/>
                <w:b/>
                <w:bCs/>
                <w:sz w:val="21"/>
                <w:szCs w:val="21"/>
                <w:lang w:val="en-US" w:eastAsia="zh-CN"/>
              </w:rPr>
              <w:t>3</w:t>
            </w:r>
            <w:r>
              <w:rPr>
                <w:rFonts w:hint="eastAsia" w:ascii="宋体" w:hAnsi="宋体" w:eastAsia="宋体" w:cs="宋体"/>
                <w:b/>
                <w:bCs/>
                <w:sz w:val="21"/>
                <w:szCs w:val="21"/>
              </w:rPr>
              <w:t xml:space="preserve">、质量控制措施 </w:t>
            </w:r>
          </w:p>
          <w:p>
            <w:pPr>
              <w:pStyle w:val="25"/>
              <w:spacing w:line="360" w:lineRule="auto"/>
              <w:rPr>
                <w:rFonts w:hint="eastAsia" w:ascii="宋体" w:hAnsi="宋体" w:eastAsia="宋体" w:cs="宋体"/>
                <w:sz w:val="21"/>
                <w:szCs w:val="21"/>
              </w:rPr>
            </w:pPr>
            <w:r>
              <w:rPr>
                <w:rFonts w:hint="eastAsia" w:ascii="宋体" w:hAnsi="宋体" w:eastAsia="宋体" w:cs="宋体"/>
                <w:sz w:val="21"/>
                <w:szCs w:val="21"/>
              </w:rPr>
              <w:t>结合采购需求，供应商就所投产品提供质量控制措施，包括供货前的产品质量控制、供货到达现场的安装调试的质量控制等。</w:t>
            </w:r>
          </w:p>
          <w:p>
            <w:pPr>
              <w:pStyle w:val="25"/>
              <w:spacing w:line="360" w:lineRule="auto"/>
              <w:rPr>
                <w:rFonts w:hint="eastAsia" w:ascii="宋体" w:hAnsi="宋体" w:eastAsia="宋体" w:cs="宋体"/>
                <w:sz w:val="21"/>
                <w:szCs w:val="21"/>
              </w:rPr>
            </w:pPr>
            <w:r>
              <w:rPr>
                <w:rFonts w:hint="eastAsia" w:ascii="宋体" w:hAnsi="宋体" w:eastAsia="宋体" w:cs="宋体"/>
                <w:sz w:val="21"/>
                <w:szCs w:val="21"/>
              </w:rPr>
              <w:t>评标委员会根据供应商提供的以上要点内容进行评审打分，以上共</w:t>
            </w:r>
            <w:r>
              <w:rPr>
                <w:rFonts w:hint="eastAsia" w:cs="宋体"/>
                <w:sz w:val="21"/>
                <w:szCs w:val="21"/>
                <w:lang w:val="en-US" w:eastAsia="zh-CN"/>
              </w:rPr>
              <w:t>3</w:t>
            </w:r>
            <w:r>
              <w:rPr>
                <w:rFonts w:hint="eastAsia" w:ascii="宋体" w:hAnsi="宋体" w:eastAsia="宋体" w:cs="宋体"/>
                <w:sz w:val="21"/>
                <w:szCs w:val="21"/>
              </w:rPr>
              <w:t>小项，</w:t>
            </w:r>
            <w:r>
              <w:rPr>
                <w:rFonts w:hint="eastAsia" w:ascii="宋体" w:hAnsi="宋体" w:eastAsia="宋体" w:cs="宋体"/>
                <w:b/>
                <w:bCs/>
                <w:sz w:val="21"/>
                <w:szCs w:val="21"/>
              </w:rPr>
              <w:t>每一项最高得</w:t>
            </w:r>
            <w:r>
              <w:rPr>
                <w:rFonts w:hint="eastAsia" w:cs="宋体"/>
                <w:b/>
                <w:bCs/>
                <w:sz w:val="21"/>
                <w:szCs w:val="21"/>
                <w:lang w:val="en-US" w:eastAsia="zh-CN"/>
              </w:rPr>
              <w:t>7</w:t>
            </w:r>
            <w:r>
              <w:rPr>
                <w:rFonts w:hint="eastAsia" w:ascii="宋体" w:hAnsi="宋体" w:eastAsia="宋体" w:cs="宋体"/>
                <w:b/>
                <w:bCs/>
                <w:sz w:val="21"/>
                <w:szCs w:val="21"/>
              </w:rPr>
              <w:t>分，满分</w:t>
            </w:r>
            <w:r>
              <w:rPr>
                <w:rFonts w:hint="eastAsia" w:cs="宋体"/>
                <w:b/>
                <w:bCs/>
                <w:sz w:val="21"/>
                <w:szCs w:val="21"/>
                <w:lang w:val="en-US" w:eastAsia="zh-CN"/>
              </w:rPr>
              <w:t>21</w:t>
            </w:r>
            <w:r>
              <w:rPr>
                <w:rFonts w:hint="eastAsia" w:ascii="宋体" w:hAnsi="宋体" w:eastAsia="宋体" w:cs="宋体"/>
                <w:b/>
                <w:bCs/>
                <w:sz w:val="21"/>
                <w:szCs w:val="21"/>
              </w:rPr>
              <w:t>分</w:t>
            </w:r>
            <w:r>
              <w:rPr>
                <w:rFonts w:hint="eastAsia" w:cs="宋体"/>
                <w:b/>
                <w:bCs/>
                <w:sz w:val="21"/>
                <w:szCs w:val="21"/>
                <w:lang w:eastAsia="zh-CN"/>
              </w:rPr>
              <w:t>。</w:t>
            </w:r>
            <w:r>
              <w:rPr>
                <w:rFonts w:hint="eastAsia" w:ascii="宋体" w:hAnsi="宋体" w:eastAsia="宋体" w:cs="宋体"/>
                <w:sz w:val="21"/>
                <w:szCs w:val="21"/>
              </w:rPr>
              <w:t xml:space="preserve"> </w:t>
            </w:r>
          </w:p>
          <w:p>
            <w:pPr>
              <w:pStyle w:val="25"/>
              <w:spacing w:line="360" w:lineRule="auto"/>
              <w:rPr>
                <w:rFonts w:hint="eastAsia" w:ascii="宋体" w:hAnsi="宋体" w:eastAsia="宋体" w:cs="宋体"/>
                <w:sz w:val="21"/>
                <w:szCs w:val="21"/>
              </w:rPr>
            </w:pPr>
            <w:r>
              <w:rPr>
                <w:rFonts w:hint="eastAsia" w:ascii="宋体" w:hAnsi="宋体" w:eastAsia="宋体" w:cs="宋体"/>
                <w:sz w:val="21"/>
                <w:szCs w:val="21"/>
              </w:rPr>
              <w:t>1）方案完全覆盖采购需求要求并对项目内容进行补充，各项内容制定具体的实施方案，且方案条理清晰，利于项目实施的得</w:t>
            </w:r>
            <w:r>
              <w:rPr>
                <w:rFonts w:hint="eastAsia" w:cs="宋体"/>
                <w:sz w:val="21"/>
                <w:szCs w:val="21"/>
                <w:lang w:val="en-US" w:eastAsia="zh-CN"/>
              </w:rPr>
              <w:t>5-7</w:t>
            </w:r>
            <w:r>
              <w:rPr>
                <w:rFonts w:hint="eastAsia" w:ascii="宋体" w:hAnsi="宋体" w:eastAsia="宋体" w:cs="宋体"/>
                <w:sz w:val="21"/>
                <w:szCs w:val="21"/>
              </w:rPr>
              <w:t>分；</w:t>
            </w:r>
          </w:p>
          <w:p>
            <w:pPr>
              <w:pStyle w:val="25"/>
              <w:spacing w:line="360" w:lineRule="auto"/>
              <w:rPr>
                <w:rFonts w:hint="eastAsia" w:ascii="宋体" w:hAnsi="宋体" w:eastAsia="宋体" w:cs="宋体"/>
                <w:sz w:val="21"/>
                <w:szCs w:val="21"/>
              </w:rPr>
            </w:pPr>
            <w:r>
              <w:rPr>
                <w:rFonts w:hint="eastAsia" w:ascii="宋体" w:hAnsi="宋体" w:eastAsia="宋体" w:cs="宋体"/>
                <w:sz w:val="21"/>
                <w:szCs w:val="21"/>
              </w:rPr>
              <w:t>2）方案完全覆盖采购需求要求并对内容进行补充，虽制定各项实施方案，但方案条理不清的得</w:t>
            </w:r>
            <w:r>
              <w:rPr>
                <w:rFonts w:hint="eastAsia" w:cs="宋体"/>
                <w:sz w:val="21"/>
                <w:szCs w:val="21"/>
                <w:lang w:val="en-US" w:eastAsia="zh-CN"/>
              </w:rPr>
              <w:t>3-4</w:t>
            </w:r>
            <w:r>
              <w:rPr>
                <w:rFonts w:hint="eastAsia" w:ascii="宋体" w:hAnsi="宋体" w:eastAsia="宋体" w:cs="宋体"/>
                <w:sz w:val="21"/>
                <w:szCs w:val="21"/>
              </w:rPr>
              <w:t>分；</w:t>
            </w:r>
          </w:p>
          <w:p>
            <w:pPr>
              <w:pStyle w:val="25"/>
              <w:spacing w:line="360" w:lineRule="auto"/>
              <w:rPr>
                <w:rFonts w:hint="eastAsia" w:ascii="宋体" w:hAnsi="宋体" w:eastAsia="宋体" w:cs="宋体"/>
                <w:sz w:val="21"/>
                <w:szCs w:val="21"/>
              </w:rPr>
            </w:pPr>
            <w:r>
              <w:rPr>
                <w:rFonts w:hint="eastAsia" w:ascii="宋体" w:hAnsi="宋体" w:eastAsia="宋体" w:cs="宋体"/>
                <w:sz w:val="21"/>
                <w:szCs w:val="21"/>
              </w:rPr>
              <w:t>3）方案未完全覆盖采购需求要求，有缺项漏项的，且所提供方案条理不清的得1</w:t>
            </w:r>
            <w:r>
              <w:rPr>
                <w:rFonts w:hint="eastAsia" w:ascii="宋体" w:hAnsi="宋体" w:eastAsia="宋体" w:cs="宋体"/>
                <w:sz w:val="21"/>
                <w:szCs w:val="21"/>
                <w:lang w:val="en-US" w:eastAsia="zh-CN"/>
              </w:rPr>
              <w:t>-</w:t>
            </w:r>
            <w:r>
              <w:rPr>
                <w:rFonts w:hint="eastAsia" w:cs="宋体"/>
                <w:sz w:val="21"/>
                <w:szCs w:val="21"/>
                <w:lang w:val="en-US" w:eastAsia="zh-CN"/>
              </w:rPr>
              <w:t>2</w:t>
            </w:r>
            <w:r>
              <w:rPr>
                <w:rFonts w:hint="eastAsia" w:ascii="宋体" w:hAnsi="宋体" w:eastAsia="宋体" w:cs="宋体"/>
                <w:sz w:val="21"/>
                <w:szCs w:val="21"/>
              </w:rPr>
              <w:t>分；</w:t>
            </w:r>
          </w:p>
          <w:p>
            <w:pPr>
              <w:pStyle w:val="25"/>
              <w:spacing w:line="360" w:lineRule="auto"/>
              <w:rPr>
                <w:rFonts w:hint="eastAsia" w:ascii="宋体" w:hAnsi="宋体" w:eastAsia="宋体" w:cs="宋体"/>
                <w:sz w:val="21"/>
                <w:szCs w:val="21"/>
              </w:rPr>
            </w:pPr>
            <w:r>
              <w:rPr>
                <w:rFonts w:hint="eastAsia" w:ascii="宋体" w:hAnsi="宋体" w:eastAsia="宋体" w:cs="宋体"/>
                <w:sz w:val="21"/>
                <w:szCs w:val="21"/>
              </w:rPr>
              <w:t>4）未提供的不得分</w:t>
            </w:r>
          </w:p>
        </w:tc>
        <w:tc>
          <w:tcPr>
            <w:tcW w:w="1576" w:type="dxa"/>
            <w:noWrap w:val="0"/>
            <w:vAlign w:val="top"/>
          </w:tcPr>
          <w:p>
            <w:pPr>
              <w:pStyle w:val="25"/>
              <w:spacing w:before="4" w:line="360" w:lineRule="auto"/>
              <w:rPr>
                <w:rFonts w:hint="eastAsia" w:ascii="宋体" w:hAnsi="宋体" w:eastAsia="宋体" w:cs="宋体"/>
                <w:sz w:val="21"/>
                <w:szCs w:val="21"/>
              </w:rPr>
            </w:pPr>
          </w:p>
          <w:p>
            <w:pPr>
              <w:pStyle w:val="25"/>
              <w:spacing w:line="360" w:lineRule="auto"/>
              <w:ind w:left="280" w:right="279"/>
              <w:jc w:val="center"/>
              <w:rPr>
                <w:rFonts w:hint="eastAsia" w:ascii="宋体" w:hAnsi="宋体" w:eastAsia="宋体" w:cs="宋体"/>
                <w:b/>
                <w:sz w:val="21"/>
                <w:szCs w:val="21"/>
                <w:lang w:val="en-US" w:eastAsia="zh-CN"/>
              </w:rPr>
            </w:pPr>
            <w:r>
              <w:rPr>
                <w:rFonts w:hint="eastAsia" w:ascii="宋体" w:hAnsi="宋体" w:eastAsia="宋体" w:cs="宋体"/>
                <w:b w:val="0"/>
                <w:bCs/>
                <w:sz w:val="21"/>
                <w:szCs w:val="21"/>
                <w:lang w:val="en-US" w:eastAsia="zh-CN"/>
              </w:rPr>
              <w:t>0-</w:t>
            </w:r>
            <w:r>
              <w:rPr>
                <w:rFonts w:hint="eastAsia" w:cs="宋体"/>
                <w:b w:val="0"/>
                <w:bCs/>
                <w:sz w:val="21"/>
                <w:szCs w:val="21"/>
                <w:lang w:val="en-US" w:eastAsia="zh-CN"/>
              </w:rPr>
              <w:t>21</w:t>
            </w:r>
            <w:r>
              <w:rPr>
                <w:rFonts w:hint="eastAsia" w:ascii="宋体" w:hAnsi="宋体" w:eastAsia="宋体" w:cs="宋体"/>
                <w:b w:val="0"/>
                <w:bCs/>
                <w:sz w:val="21"/>
                <w:szCs w:val="21"/>
                <w:lang w:val="en-US" w:eastAsia="zh-CN"/>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474" w:type="dxa"/>
            <w:vMerge w:val="continue"/>
            <w:noWrap w:val="0"/>
            <w:vAlign w:val="top"/>
          </w:tcPr>
          <w:p>
            <w:pPr>
              <w:autoSpaceDE w:val="0"/>
              <w:autoSpaceDN w:val="0"/>
              <w:spacing w:line="360" w:lineRule="auto"/>
              <w:rPr>
                <w:rFonts w:hint="eastAsia" w:ascii="宋体" w:hAnsi="宋体" w:eastAsia="宋体" w:cs="宋体"/>
                <w:kern w:val="0"/>
                <w:sz w:val="21"/>
                <w:szCs w:val="21"/>
                <w:lang w:eastAsia="en-US"/>
              </w:rPr>
            </w:pPr>
          </w:p>
        </w:tc>
        <w:tc>
          <w:tcPr>
            <w:tcW w:w="1715" w:type="dxa"/>
            <w:noWrap w:val="0"/>
            <w:vAlign w:val="top"/>
          </w:tcPr>
          <w:p>
            <w:pPr>
              <w:pStyle w:val="25"/>
              <w:spacing w:line="360" w:lineRule="auto"/>
              <w:ind w:left="116" w:right="109"/>
              <w:jc w:val="center"/>
              <w:rPr>
                <w:rFonts w:hint="eastAsia" w:ascii="宋体" w:hAnsi="宋体" w:eastAsia="宋体" w:cs="宋体"/>
                <w:sz w:val="21"/>
                <w:szCs w:val="21"/>
                <w:lang w:eastAsia="en-US"/>
              </w:rPr>
            </w:pPr>
            <w:r>
              <w:rPr>
                <w:rFonts w:hint="eastAsia" w:ascii="宋体" w:hAnsi="宋体" w:eastAsia="宋体" w:cs="宋体"/>
                <w:sz w:val="21"/>
                <w:szCs w:val="21"/>
                <w:lang w:eastAsia="en-US"/>
              </w:rPr>
              <w:t>售后服务与维</w:t>
            </w:r>
          </w:p>
          <w:p>
            <w:pPr>
              <w:pStyle w:val="25"/>
              <w:spacing w:before="158" w:line="360" w:lineRule="auto"/>
              <w:ind w:left="116" w:right="109"/>
              <w:jc w:val="center"/>
              <w:rPr>
                <w:rFonts w:hint="eastAsia" w:ascii="宋体" w:hAnsi="宋体" w:eastAsia="宋体" w:cs="宋体"/>
                <w:sz w:val="21"/>
                <w:szCs w:val="21"/>
                <w:lang w:eastAsia="en-US"/>
              </w:rPr>
            </w:pPr>
            <w:r>
              <w:rPr>
                <w:rFonts w:hint="eastAsia" w:ascii="宋体" w:hAnsi="宋体" w:eastAsia="宋体" w:cs="宋体"/>
                <w:sz w:val="21"/>
                <w:szCs w:val="21"/>
                <w:lang w:eastAsia="en-US"/>
              </w:rPr>
              <w:t>保方案</w:t>
            </w:r>
          </w:p>
        </w:tc>
        <w:tc>
          <w:tcPr>
            <w:tcW w:w="3736" w:type="dxa"/>
            <w:noWrap w:val="0"/>
            <w:vAlign w:val="top"/>
          </w:tcPr>
          <w:p>
            <w:pPr>
              <w:pStyle w:val="25"/>
              <w:spacing w:line="360" w:lineRule="auto"/>
              <w:rPr>
                <w:rFonts w:hint="eastAsia" w:ascii="宋体" w:hAnsi="宋体" w:eastAsia="宋体" w:cs="宋体"/>
                <w:b/>
                <w:bCs/>
                <w:sz w:val="21"/>
                <w:szCs w:val="21"/>
              </w:rPr>
            </w:pPr>
            <w:r>
              <w:rPr>
                <w:rFonts w:hint="eastAsia" w:ascii="宋体" w:hAnsi="宋体" w:eastAsia="宋体" w:cs="宋体"/>
                <w:b/>
                <w:bCs/>
                <w:sz w:val="21"/>
                <w:szCs w:val="21"/>
              </w:rPr>
              <w:t>1、售后服务方案</w:t>
            </w:r>
          </w:p>
          <w:p>
            <w:pPr>
              <w:pStyle w:val="25"/>
              <w:spacing w:line="360" w:lineRule="auto"/>
              <w:rPr>
                <w:rFonts w:hint="eastAsia" w:ascii="宋体" w:hAnsi="宋体" w:eastAsia="宋体" w:cs="宋体"/>
                <w:sz w:val="21"/>
                <w:szCs w:val="21"/>
              </w:rPr>
            </w:pPr>
            <w:r>
              <w:rPr>
                <w:rFonts w:hint="eastAsia" w:ascii="宋体" w:hAnsi="宋体" w:eastAsia="宋体" w:cs="宋体"/>
                <w:sz w:val="21"/>
                <w:szCs w:val="21"/>
              </w:rPr>
              <w:t>供应商就所有设备提供售后服务方案，包括售后服务流程、故障响应及处理方式、售后服务技术力量、售后服务承诺等。</w:t>
            </w:r>
          </w:p>
          <w:p>
            <w:pPr>
              <w:pStyle w:val="25"/>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2、维保方案 </w:t>
            </w:r>
          </w:p>
          <w:p>
            <w:pPr>
              <w:pStyle w:val="25"/>
              <w:spacing w:line="360" w:lineRule="auto"/>
              <w:rPr>
                <w:rFonts w:hint="eastAsia" w:ascii="宋体" w:hAnsi="宋体" w:eastAsia="宋体" w:cs="宋体"/>
                <w:sz w:val="21"/>
                <w:szCs w:val="21"/>
              </w:rPr>
            </w:pPr>
            <w:r>
              <w:rPr>
                <w:rFonts w:hint="eastAsia" w:ascii="宋体" w:hAnsi="宋体" w:eastAsia="宋体" w:cs="宋体"/>
                <w:sz w:val="21"/>
                <w:szCs w:val="21"/>
              </w:rPr>
              <w:t>供应商就所有设备提供维保方案，包括维保计划、具体内容、所需的备件和工具等。</w:t>
            </w:r>
          </w:p>
          <w:p>
            <w:pPr>
              <w:pStyle w:val="25"/>
              <w:spacing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3、</w:t>
            </w:r>
            <w:r>
              <w:rPr>
                <w:rFonts w:hint="eastAsia" w:ascii="宋体" w:hAnsi="宋体" w:eastAsia="宋体" w:cs="宋体"/>
                <w:b/>
                <w:bCs/>
                <w:sz w:val="21"/>
                <w:szCs w:val="21"/>
              </w:rPr>
              <w:t xml:space="preserve">培训服务实施方案 </w:t>
            </w:r>
          </w:p>
          <w:p>
            <w:pPr>
              <w:pStyle w:val="25"/>
              <w:spacing w:line="360" w:lineRule="auto"/>
              <w:rPr>
                <w:rFonts w:hint="eastAsia" w:ascii="宋体" w:hAnsi="宋体" w:eastAsia="宋体" w:cs="宋体"/>
                <w:sz w:val="21"/>
                <w:szCs w:val="21"/>
              </w:rPr>
            </w:pPr>
            <w:r>
              <w:rPr>
                <w:rFonts w:hint="eastAsia" w:ascii="宋体" w:hAnsi="宋体" w:eastAsia="宋体" w:cs="宋体"/>
                <w:sz w:val="21"/>
                <w:szCs w:val="21"/>
              </w:rPr>
              <w:t>供应商就所有设备提供培训服务，包括机械的操作、维护培训 及简单故障诊断与排除等。</w:t>
            </w:r>
          </w:p>
          <w:p>
            <w:pPr>
              <w:pStyle w:val="25"/>
              <w:spacing w:line="360" w:lineRule="auto"/>
              <w:rPr>
                <w:rFonts w:hint="eastAsia" w:ascii="宋体" w:hAnsi="宋体" w:eastAsia="宋体" w:cs="宋体"/>
                <w:sz w:val="21"/>
                <w:szCs w:val="21"/>
              </w:rPr>
            </w:pPr>
            <w:r>
              <w:rPr>
                <w:rFonts w:hint="eastAsia" w:ascii="宋体" w:hAnsi="宋体" w:eastAsia="宋体" w:cs="宋体"/>
                <w:sz w:val="21"/>
                <w:szCs w:val="21"/>
              </w:rPr>
              <w:t>评标委员会根据供应商提供的以上要点内容进行评审打分，以上共</w:t>
            </w:r>
            <w:r>
              <w:rPr>
                <w:rFonts w:hint="eastAsia" w:cs="宋体"/>
                <w:sz w:val="21"/>
                <w:szCs w:val="21"/>
                <w:lang w:val="en-US" w:eastAsia="zh-CN"/>
              </w:rPr>
              <w:t>3</w:t>
            </w:r>
            <w:r>
              <w:rPr>
                <w:rFonts w:hint="eastAsia" w:ascii="宋体" w:hAnsi="宋体" w:eastAsia="宋体" w:cs="宋体"/>
                <w:sz w:val="21"/>
                <w:szCs w:val="21"/>
              </w:rPr>
              <w:t>小项，</w:t>
            </w:r>
            <w:r>
              <w:rPr>
                <w:rFonts w:hint="eastAsia" w:ascii="宋体" w:hAnsi="宋体" w:eastAsia="宋体" w:cs="宋体"/>
                <w:b/>
                <w:bCs/>
                <w:sz w:val="21"/>
                <w:szCs w:val="21"/>
              </w:rPr>
              <w:t>每一项最高得</w:t>
            </w:r>
            <w:r>
              <w:rPr>
                <w:rFonts w:hint="eastAsia" w:cs="宋体"/>
                <w:b/>
                <w:bCs/>
                <w:sz w:val="21"/>
                <w:szCs w:val="21"/>
                <w:lang w:val="en-US" w:eastAsia="zh-CN"/>
              </w:rPr>
              <w:t>7</w:t>
            </w:r>
            <w:r>
              <w:rPr>
                <w:rFonts w:hint="eastAsia" w:ascii="宋体" w:hAnsi="宋体" w:eastAsia="宋体" w:cs="宋体"/>
                <w:b/>
                <w:bCs/>
                <w:sz w:val="21"/>
                <w:szCs w:val="21"/>
              </w:rPr>
              <w:t>分，满分</w:t>
            </w:r>
            <w:r>
              <w:rPr>
                <w:rFonts w:hint="eastAsia" w:cs="宋体"/>
                <w:b/>
                <w:bCs/>
                <w:sz w:val="21"/>
                <w:szCs w:val="21"/>
                <w:lang w:val="en-US" w:eastAsia="zh-CN"/>
              </w:rPr>
              <w:t>21</w:t>
            </w:r>
            <w:r>
              <w:rPr>
                <w:rFonts w:hint="eastAsia" w:ascii="宋体" w:hAnsi="宋体" w:eastAsia="宋体" w:cs="宋体"/>
                <w:b/>
                <w:bCs/>
                <w:sz w:val="21"/>
                <w:szCs w:val="21"/>
              </w:rPr>
              <w:t>分</w:t>
            </w:r>
            <w:r>
              <w:rPr>
                <w:rFonts w:hint="eastAsia" w:ascii="宋体" w:hAnsi="宋体" w:eastAsia="宋体" w:cs="宋体"/>
                <w:sz w:val="21"/>
                <w:szCs w:val="21"/>
              </w:rPr>
              <w:t xml:space="preserve">： </w:t>
            </w:r>
          </w:p>
          <w:p>
            <w:pPr>
              <w:pStyle w:val="25"/>
              <w:spacing w:line="360" w:lineRule="auto"/>
              <w:rPr>
                <w:rFonts w:hint="eastAsia" w:ascii="宋体" w:hAnsi="宋体" w:eastAsia="宋体" w:cs="宋体"/>
                <w:sz w:val="21"/>
                <w:szCs w:val="21"/>
              </w:rPr>
            </w:pPr>
            <w:r>
              <w:rPr>
                <w:rFonts w:hint="eastAsia" w:ascii="宋体" w:hAnsi="宋体" w:eastAsia="宋体" w:cs="宋体"/>
                <w:sz w:val="21"/>
                <w:szCs w:val="21"/>
              </w:rPr>
              <w:t>1）方案完全覆盖采购需求要求并对项目内容进行补充，各项内容制定具体的实施方案，且方案条理清晰，利于项目实施的得</w:t>
            </w:r>
            <w:r>
              <w:rPr>
                <w:rFonts w:hint="eastAsia" w:cs="宋体"/>
                <w:sz w:val="21"/>
                <w:szCs w:val="21"/>
                <w:lang w:val="en-US" w:eastAsia="zh-CN"/>
              </w:rPr>
              <w:t>5-7</w:t>
            </w:r>
            <w:r>
              <w:rPr>
                <w:rFonts w:hint="eastAsia" w:ascii="宋体" w:hAnsi="宋体" w:eastAsia="宋体" w:cs="宋体"/>
                <w:sz w:val="21"/>
                <w:szCs w:val="21"/>
              </w:rPr>
              <w:t>分；</w:t>
            </w:r>
          </w:p>
          <w:p>
            <w:pPr>
              <w:pStyle w:val="25"/>
              <w:spacing w:line="360" w:lineRule="auto"/>
              <w:rPr>
                <w:rFonts w:hint="eastAsia" w:ascii="宋体" w:hAnsi="宋体" w:eastAsia="宋体" w:cs="宋体"/>
                <w:sz w:val="21"/>
                <w:szCs w:val="21"/>
              </w:rPr>
            </w:pPr>
            <w:r>
              <w:rPr>
                <w:rFonts w:hint="eastAsia" w:ascii="宋体" w:hAnsi="宋体" w:eastAsia="宋体" w:cs="宋体"/>
                <w:sz w:val="21"/>
                <w:szCs w:val="21"/>
              </w:rPr>
              <w:t>2）方案完全覆盖采购需求要求并对内容进行补充，虽制定各项实施方案，但方案条理不清的得</w:t>
            </w:r>
            <w:r>
              <w:rPr>
                <w:rFonts w:hint="eastAsia" w:cs="宋体"/>
                <w:sz w:val="21"/>
                <w:szCs w:val="21"/>
                <w:lang w:val="en-US" w:eastAsia="zh-CN"/>
              </w:rPr>
              <w:t>3-4</w:t>
            </w:r>
            <w:r>
              <w:rPr>
                <w:rFonts w:hint="eastAsia" w:ascii="宋体" w:hAnsi="宋体" w:eastAsia="宋体" w:cs="宋体"/>
                <w:sz w:val="21"/>
                <w:szCs w:val="21"/>
              </w:rPr>
              <w:t>分；</w:t>
            </w:r>
          </w:p>
          <w:p>
            <w:pPr>
              <w:pStyle w:val="25"/>
              <w:spacing w:line="360" w:lineRule="auto"/>
              <w:rPr>
                <w:rFonts w:hint="eastAsia" w:ascii="宋体" w:hAnsi="宋体" w:eastAsia="宋体" w:cs="宋体"/>
                <w:sz w:val="21"/>
                <w:szCs w:val="21"/>
              </w:rPr>
            </w:pPr>
            <w:r>
              <w:rPr>
                <w:rFonts w:hint="eastAsia" w:ascii="宋体" w:hAnsi="宋体" w:eastAsia="宋体" w:cs="宋体"/>
                <w:sz w:val="21"/>
                <w:szCs w:val="21"/>
              </w:rPr>
              <w:t>3）方案未完全覆盖采购需求要求，有缺项漏项的，且所提供方案条理不清的得1</w:t>
            </w:r>
            <w:r>
              <w:rPr>
                <w:rFonts w:hint="eastAsia" w:ascii="宋体" w:hAnsi="宋体" w:eastAsia="宋体" w:cs="宋体"/>
                <w:sz w:val="21"/>
                <w:szCs w:val="21"/>
                <w:lang w:val="en-US" w:eastAsia="zh-CN"/>
              </w:rPr>
              <w:t>-</w:t>
            </w:r>
            <w:r>
              <w:rPr>
                <w:rFonts w:hint="eastAsia" w:cs="宋体"/>
                <w:sz w:val="21"/>
                <w:szCs w:val="21"/>
                <w:lang w:val="en-US" w:eastAsia="zh-CN"/>
              </w:rPr>
              <w:t>2</w:t>
            </w:r>
            <w:r>
              <w:rPr>
                <w:rFonts w:hint="eastAsia" w:ascii="宋体" w:hAnsi="宋体" w:eastAsia="宋体" w:cs="宋体"/>
                <w:sz w:val="21"/>
                <w:szCs w:val="21"/>
              </w:rPr>
              <w:t>分；</w:t>
            </w:r>
          </w:p>
          <w:p>
            <w:pPr>
              <w:pStyle w:val="25"/>
              <w:spacing w:line="360" w:lineRule="auto"/>
              <w:rPr>
                <w:rFonts w:hint="eastAsia" w:ascii="宋体" w:hAnsi="宋体" w:eastAsia="宋体" w:cs="宋体"/>
                <w:sz w:val="21"/>
                <w:szCs w:val="21"/>
                <w:lang w:eastAsia="zh-CN"/>
              </w:rPr>
            </w:pPr>
            <w:r>
              <w:rPr>
                <w:rFonts w:hint="eastAsia" w:ascii="宋体" w:hAnsi="宋体" w:eastAsia="宋体" w:cs="宋体"/>
                <w:sz w:val="21"/>
                <w:szCs w:val="21"/>
              </w:rPr>
              <w:t>4）未提供的不得分</w:t>
            </w:r>
            <w:r>
              <w:rPr>
                <w:rFonts w:hint="eastAsia" w:ascii="宋体" w:hAnsi="宋体" w:eastAsia="宋体" w:cs="宋体"/>
                <w:sz w:val="21"/>
                <w:szCs w:val="21"/>
                <w:lang w:eastAsia="zh-CN"/>
              </w:rPr>
              <w:t>。</w:t>
            </w:r>
          </w:p>
        </w:tc>
        <w:tc>
          <w:tcPr>
            <w:tcW w:w="1576" w:type="dxa"/>
            <w:noWrap w:val="0"/>
            <w:vAlign w:val="top"/>
          </w:tcPr>
          <w:p>
            <w:pPr>
              <w:pStyle w:val="25"/>
              <w:spacing w:before="1" w:line="360" w:lineRule="auto"/>
              <w:rPr>
                <w:rFonts w:hint="eastAsia" w:ascii="宋体" w:hAnsi="宋体" w:eastAsia="宋体" w:cs="宋体"/>
                <w:sz w:val="21"/>
                <w:szCs w:val="21"/>
                <w:lang w:eastAsia="en-US"/>
              </w:rPr>
            </w:pPr>
          </w:p>
          <w:p>
            <w:pPr>
              <w:pStyle w:val="25"/>
              <w:spacing w:before="1" w:line="360" w:lineRule="auto"/>
              <w:ind w:left="280" w:right="279"/>
              <w:jc w:val="center"/>
              <w:rPr>
                <w:rFonts w:hint="eastAsia" w:ascii="宋体" w:hAnsi="宋体" w:eastAsia="宋体" w:cs="宋体"/>
                <w:b/>
                <w:sz w:val="21"/>
                <w:szCs w:val="21"/>
                <w:lang w:val="en-US" w:eastAsia="zh-CN"/>
              </w:rPr>
            </w:pPr>
            <w:r>
              <w:rPr>
                <w:rFonts w:hint="eastAsia" w:ascii="宋体" w:hAnsi="宋体" w:eastAsia="宋体" w:cs="宋体"/>
                <w:b w:val="0"/>
                <w:bCs/>
                <w:sz w:val="21"/>
                <w:szCs w:val="21"/>
                <w:lang w:val="en-US" w:eastAsia="zh-CN"/>
              </w:rPr>
              <w:t>0-</w:t>
            </w:r>
            <w:r>
              <w:rPr>
                <w:rFonts w:hint="eastAsia" w:cs="宋体"/>
                <w:b w:val="0"/>
                <w:bCs/>
                <w:sz w:val="21"/>
                <w:szCs w:val="21"/>
                <w:lang w:val="en-US" w:eastAsia="zh-CN"/>
              </w:rPr>
              <w:t>21</w:t>
            </w:r>
            <w:r>
              <w:rPr>
                <w:rFonts w:hint="eastAsia" w:ascii="宋体" w:hAnsi="宋体" w:eastAsia="宋体" w:cs="宋体"/>
                <w:b w:val="0"/>
                <w:bCs/>
                <w:sz w:val="21"/>
                <w:szCs w:val="21"/>
                <w:lang w:val="en-US" w:eastAsia="zh-CN"/>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474" w:type="dxa"/>
            <w:vMerge w:val="continue"/>
            <w:noWrap w:val="0"/>
            <w:vAlign w:val="top"/>
          </w:tcPr>
          <w:p>
            <w:pPr>
              <w:autoSpaceDE w:val="0"/>
              <w:autoSpaceDN w:val="0"/>
              <w:spacing w:line="360" w:lineRule="auto"/>
              <w:rPr>
                <w:rFonts w:hint="eastAsia" w:ascii="宋体" w:hAnsi="宋体" w:eastAsia="宋体" w:cs="宋体"/>
                <w:kern w:val="0"/>
                <w:sz w:val="21"/>
                <w:szCs w:val="21"/>
                <w:lang w:eastAsia="en-US"/>
              </w:rPr>
            </w:pPr>
          </w:p>
        </w:tc>
        <w:tc>
          <w:tcPr>
            <w:tcW w:w="1715" w:type="dxa"/>
            <w:noWrap w:val="0"/>
            <w:vAlign w:val="center"/>
          </w:tcPr>
          <w:p>
            <w:pPr>
              <w:pStyle w:val="25"/>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供应商综合实力</w:t>
            </w:r>
          </w:p>
        </w:tc>
        <w:tc>
          <w:tcPr>
            <w:tcW w:w="3736" w:type="dxa"/>
            <w:noWrap w:val="0"/>
            <w:vAlign w:val="center"/>
          </w:tcPr>
          <w:p>
            <w:pPr>
              <w:pStyle w:val="25"/>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供应商具有有效期内的质量管理体系认证证书、环境管理体系认证证书、职业健康安全管理体系认证证书、信息技术服务管理体系认证证书、信息安全管理体系认证证书，每提供1个得</w:t>
            </w:r>
            <w:r>
              <w:rPr>
                <w:rFonts w:hint="eastAsia" w:cs="宋体"/>
                <w:sz w:val="21"/>
                <w:szCs w:val="21"/>
                <w:lang w:val="en-US" w:eastAsia="zh-CN"/>
              </w:rPr>
              <w:t>1</w:t>
            </w:r>
            <w:r>
              <w:rPr>
                <w:rFonts w:hint="eastAsia" w:ascii="宋体" w:hAnsi="宋体" w:eastAsia="宋体" w:cs="宋体"/>
                <w:sz w:val="21"/>
                <w:szCs w:val="21"/>
                <w:lang w:val="en-US" w:eastAsia="zh-CN"/>
              </w:rPr>
              <w:t>分，满分</w:t>
            </w:r>
            <w:r>
              <w:rPr>
                <w:rFonts w:hint="eastAsia" w:cs="宋体"/>
                <w:sz w:val="21"/>
                <w:szCs w:val="21"/>
                <w:lang w:val="en-US" w:eastAsia="zh-CN"/>
              </w:rPr>
              <w:t>5</w:t>
            </w:r>
            <w:r>
              <w:rPr>
                <w:rFonts w:hint="eastAsia" w:ascii="宋体" w:hAnsi="宋体" w:eastAsia="宋体" w:cs="宋体"/>
                <w:sz w:val="21"/>
                <w:szCs w:val="21"/>
                <w:lang w:val="en-US" w:eastAsia="zh-CN"/>
              </w:rPr>
              <w:t>分。</w:t>
            </w:r>
            <w:r>
              <w:rPr>
                <w:rFonts w:hint="eastAsia" w:ascii="宋体" w:hAnsi="宋体" w:eastAsia="宋体" w:cs="宋体"/>
                <w:sz w:val="21"/>
                <w:szCs w:val="21"/>
                <w:lang w:val="en-US" w:eastAsia="zh-CN"/>
              </w:rPr>
              <w:br w:type="textWrapping"/>
            </w:r>
            <w:r>
              <w:rPr>
                <w:rFonts w:hint="eastAsia" w:ascii="宋体" w:hAnsi="宋体" w:eastAsia="宋体" w:cs="宋体"/>
                <w:sz w:val="21"/>
                <w:szCs w:val="21"/>
                <w:lang w:val="en-US" w:eastAsia="zh-CN"/>
              </w:rPr>
              <w:t>注：响应文件中须提供证书扫描件或影印件和全国认证认可信息公共服务平台网站认证信息查询截图。</w:t>
            </w:r>
          </w:p>
        </w:tc>
        <w:tc>
          <w:tcPr>
            <w:tcW w:w="1576" w:type="dxa"/>
            <w:noWrap w:val="0"/>
            <w:vAlign w:val="center"/>
          </w:tcPr>
          <w:p>
            <w:pPr>
              <w:pStyle w:val="25"/>
              <w:spacing w:line="360" w:lineRule="auto"/>
              <w:ind w:firstLine="210" w:firstLineChars="1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w:t>
            </w:r>
            <w:r>
              <w:rPr>
                <w:rFonts w:hint="eastAsia" w:cs="宋体"/>
                <w:sz w:val="21"/>
                <w:szCs w:val="21"/>
                <w:lang w:val="en-US" w:eastAsia="zh-CN"/>
              </w:rPr>
              <w:t>5</w:t>
            </w:r>
            <w:r>
              <w:rPr>
                <w:rFonts w:hint="eastAsia" w:ascii="宋体" w:hAnsi="宋体" w:eastAsia="宋体" w:cs="宋体"/>
                <w:sz w:val="21"/>
                <w:szCs w:val="21"/>
                <w:lang w:val="en-US" w:eastAsia="zh-CN"/>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474" w:type="dxa"/>
            <w:vMerge w:val="continue"/>
            <w:noWrap w:val="0"/>
            <w:vAlign w:val="top"/>
          </w:tcPr>
          <w:p>
            <w:pPr>
              <w:autoSpaceDE w:val="0"/>
              <w:autoSpaceDN w:val="0"/>
              <w:spacing w:line="360" w:lineRule="auto"/>
              <w:rPr>
                <w:rFonts w:hint="eastAsia" w:ascii="宋体" w:hAnsi="宋体" w:eastAsia="宋体" w:cs="宋体"/>
                <w:kern w:val="0"/>
                <w:sz w:val="21"/>
                <w:szCs w:val="21"/>
                <w:lang w:eastAsia="en-US"/>
              </w:rPr>
            </w:pPr>
          </w:p>
        </w:tc>
        <w:tc>
          <w:tcPr>
            <w:tcW w:w="1715" w:type="dxa"/>
            <w:noWrap w:val="0"/>
            <w:vAlign w:val="top"/>
          </w:tcPr>
          <w:p>
            <w:pPr>
              <w:pStyle w:val="25"/>
              <w:spacing w:line="360" w:lineRule="auto"/>
              <w:ind w:left="116" w:leftChars="0" w:right="109" w:rightChars="0"/>
              <w:jc w:val="center"/>
              <w:rPr>
                <w:rFonts w:hint="eastAsia" w:cs="宋体"/>
                <w:sz w:val="21"/>
                <w:szCs w:val="21"/>
                <w:lang w:val="en-US" w:eastAsia="zh-CN"/>
              </w:rPr>
            </w:pPr>
            <w:r>
              <w:rPr>
                <w:rFonts w:hint="eastAsia" w:cs="宋体"/>
                <w:sz w:val="21"/>
                <w:szCs w:val="21"/>
                <w:lang w:val="en-US" w:eastAsia="zh-CN"/>
              </w:rPr>
              <w:t>人员配备</w:t>
            </w:r>
          </w:p>
        </w:tc>
        <w:tc>
          <w:tcPr>
            <w:tcW w:w="3736" w:type="dxa"/>
            <w:noWrap w:val="0"/>
            <w:vAlign w:val="top"/>
          </w:tcPr>
          <w:p>
            <w:pPr>
              <w:pStyle w:val="25"/>
              <w:spacing w:line="360" w:lineRule="auto"/>
              <w:rPr>
                <w:rFonts w:hint="eastAsia" w:ascii="宋体" w:hAnsi="宋体" w:eastAsia="宋体" w:cs="宋体"/>
                <w:sz w:val="21"/>
                <w:szCs w:val="21"/>
              </w:rPr>
            </w:pPr>
            <w:r>
              <w:rPr>
                <w:rFonts w:hint="eastAsia" w:ascii="宋体" w:hAnsi="宋体" w:eastAsia="宋体" w:cs="宋体"/>
                <w:sz w:val="21"/>
                <w:szCs w:val="21"/>
              </w:rPr>
              <w:t>1、项目负责人具有以下证书：PMP、信息系统集成管理（高级）、高级网络工程师，每提供一个证书得1分，满分3分；</w:t>
            </w:r>
          </w:p>
          <w:p>
            <w:pPr>
              <w:pStyle w:val="25"/>
              <w:spacing w:line="360" w:lineRule="auto"/>
              <w:rPr>
                <w:rFonts w:hint="eastAsia" w:ascii="宋体" w:hAnsi="宋体" w:eastAsia="宋体" w:cs="宋体"/>
                <w:sz w:val="21"/>
                <w:szCs w:val="21"/>
              </w:rPr>
            </w:pPr>
            <w:r>
              <w:rPr>
                <w:rFonts w:hint="eastAsia" w:ascii="宋体" w:hAnsi="宋体" w:eastAsia="宋体" w:cs="宋体"/>
                <w:sz w:val="21"/>
                <w:szCs w:val="21"/>
              </w:rPr>
              <w:t>2、项目组成员获得以下证书：CISP、通信工程、互联网技术，每提供一个证书得1分，满分3分；</w:t>
            </w:r>
          </w:p>
          <w:p>
            <w:pPr>
              <w:pStyle w:val="25"/>
              <w:spacing w:line="360" w:lineRule="auto"/>
              <w:rPr>
                <w:rFonts w:hint="eastAsia" w:ascii="宋体" w:hAnsi="宋体" w:eastAsia="宋体" w:cs="宋体"/>
                <w:sz w:val="21"/>
                <w:szCs w:val="21"/>
              </w:rPr>
            </w:pPr>
            <w:r>
              <w:rPr>
                <w:rFonts w:hint="eastAsia" w:ascii="宋体" w:hAnsi="宋体" w:eastAsia="宋体" w:cs="宋体"/>
                <w:sz w:val="21"/>
                <w:szCs w:val="21"/>
              </w:rPr>
              <w:t>注：项目负责人和项目组成员不得重复计分,同一人不能多专业重复计分；以上人员不得复用，需提供人员证书复印件、人员身份证复印件、近半年来投标人为其缴纳任意一个月的个人社保缴纳证明，加盖投标供应商公章，否则不得分。</w:t>
            </w:r>
          </w:p>
        </w:tc>
        <w:tc>
          <w:tcPr>
            <w:tcW w:w="1576" w:type="dxa"/>
            <w:noWrap w:val="0"/>
            <w:vAlign w:val="top"/>
          </w:tcPr>
          <w:p>
            <w:pPr>
              <w:pStyle w:val="25"/>
              <w:spacing w:line="360" w:lineRule="auto"/>
              <w:ind w:left="280" w:leftChars="0" w:right="279" w:rightChars="0"/>
              <w:jc w:val="cente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0-</w:t>
            </w:r>
            <w:r>
              <w:rPr>
                <w:rFonts w:hint="eastAsia" w:cs="宋体"/>
                <w:b w:val="0"/>
                <w:bCs/>
                <w:sz w:val="21"/>
                <w:szCs w:val="21"/>
                <w:lang w:val="en-US" w:eastAsia="zh-CN"/>
              </w:rPr>
              <w:t>6</w:t>
            </w:r>
            <w:r>
              <w:rPr>
                <w:rFonts w:hint="eastAsia" w:ascii="宋体" w:hAnsi="宋体" w:eastAsia="宋体" w:cs="宋体"/>
                <w:b w:val="0"/>
                <w:bCs/>
                <w:sz w:val="21"/>
                <w:szCs w:val="21"/>
                <w:lang w:val="en-US" w:eastAsia="zh-CN"/>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474" w:type="dxa"/>
            <w:vMerge w:val="continue"/>
            <w:noWrap w:val="0"/>
            <w:vAlign w:val="top"/>
          </w:tcPr>
          <w:p>
            <w:pPr>
              <w:autoSpaceDE w:val="0"/>
              <w:autoSpaceDN w:val="0"/>
              <w:spacing w:line="360" w:lineRule="auto"/>
              <w:rPr>
                <w:rFonts w:hint="eastAsia" w:ascii="宋体" w:hAnsi="宋体" w:eastAsia="宋体" w:cs="宋体"/>
                <w:kern w:val="0"/>
                <w:sz w:val="21"/>
                <w:szCs w:val="21"/>
                <w:lang w:eastAsia="en-US"/>
              </w:rPr>
            </w:pPr>
          </w:p>
        </w:tc>
        <w:tc>
          <w:tcPr>
            <w:tcW w:w="1715" w:type="dxa"/>
            <w:noWrap w:val="0"/>
            <w:vAlign w:val="top"/>
          </w:tcPr>
          <w:p>
            <w:pPr>
              <w:pStyle w:val="25"/>
              <w:spacing w:line="360" w:lineRule="auto"/>
              <w:ind w:left="116" w:right="109"/>
              <w:jc w:val="center"/>
              <w:rPr>
                <w:rFonts w:hint="default" w:ascii="宋体" w:hAnsi="宋体" w:eastAsia="宋体" w:cs="宋体"/>
                <w:sz w:val="21"/>
                <w:szCs w:val="21"/>
                <w:lang w:val="en-US" w:eastAsia="zh-CN"/>
              </w:rPr>
            </w:pPr>
            <w:r>
              <w:rPr>
                <w:rFonts w:hint="eastAsia" w:cs="宋体"/>
                <w:sz w:val="21"/>
                <w:szCs w:val="21"/>
                <w:lang w:val="en-US" w:eastAsia="zh-CN"/>
              </w:rPr>
              <w:t>业绩</w:t>
            </w:r>
          </w:p>
        </w:tc>
        <w:tc>
          <w:tcPr>
            <w:tcW w:w="3736" w:type="dxa"/>
            <w:noWrap w:val="0"/>
            <w:vAlign w:val="top"/>
          </w:tcPr>
          <w:p>
            <w:pPr>
              <w:pStyle w:val="25"/>
              <w:spacing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投标人每提供一个类似项目业绩得</w:t>
            </w:r>
            <w:r>
              <w:rPr>
                <w:rFonts w:hint="eastAsia" w:cs="宋体"/>
                <w:sz w:val="21"/>
                <w:szCs w:val="21"/>
                <w:lang w:val="en-US" w:eastAsia="zh-CN"/>
              </w:rPr>
              <w:t>2.5</w:t>
            </w:r>
            <w:r>
              <w:rPr>
                <w:rFonts w:hint="eastAsia" w:ascii="宋体" w:hAnsi="宋体" w:eastAsia="宋体" w:cs="宋体"/>
                <w:sz w:val="21"/>
                <w:szCs w:val="21"/>
                <w:lang w:eastAsia="en-US"/>
              </w:rPr>
              <w:t>分，最高得</w:t>
            </w:r>
            <w:r>
              <w:rPr>
                <w:rFonts w:hint="eastAsia" w:cs="宋体"/>
                <w:sz w:val="21"/>
                <w:szCs w:val="21"/>
                <w:lang w:val="en-US" w:eastAsia="zh-CN"/>
              </w:rPr>
              <w:t>5</w:t>
            </w:r>
            <w:r>
              <w:rPr>
                <w:rFonts w:hint="eastAsia" w:ascii="宋体" w:hAnsi="宋体" w:eastAsia="宋体" w:cs="宋体"/>
                <w:sz w:val="21"/>
                <w:szCs w:val="21"/>
                <w:lang w:eastAsia="en-US"/>
              </w:rPr>
              <w:t>分。</w:t>
            </w:r>
          </w:p>
          <w:p>
            <w:pPr>
              <w:pStyle w:val="25"/>
              <w:spacing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注：需提供合同证明材料或中标通知书（中标公告）材料，投标人若无法提供合同证明材料或中标通知书（中标公告）材料，按照不满足处理。</w:t>
            </w:r>
          </w:p>
        </w:tc>
        <w:tc>
          <w:tcPr>
            <w:tcW w:w="1576" w:type="dxa"/>
            <w:noWrap w:val="0"/>
            <w:vAlign w:val="top"/>
          </w:tcPr>
          <w:p>
            <w:pPr>
              <w:pStyle w:val="25"/>
              <w:spacing w:line="360" w:lineRule="auto"/>
              <w:ind w:left="280" w:right="279"/>
              <w:jc w:val="center"/>
              <w:rPr>
                <w:rFonts w:hint="default" w:ascii="宋体" w:hAnsi="宋体" w:eastAsia="宋体" w:cs="宋体"/>
                <w:b/>
                <w:sz w:val="21"/>
                <w:szCs w:val="21"/>
                <w:lang w:val="en-US" w:eastAsia="zh-CN"/>
              </w:rPr>
            </w:pPr>
            <w:r>
              <w:rPr>
                <w:rFonts w:hint="eastAsia" w:cs="宋体"/>
                <w:b/>
                <w:sz w:val="21"/>
                <w:szCs w:val="21"/>
                <w:lang w:val="en-US" w:eastAsia="zh-CN"/>
              </w:rPr>
              <w:t>0-5分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7" w:hRule="atLeast"/>
        </w:trPr>
        <w:tc>
          <w:tcPr>
            <w:tcW w:w="1474" w:type="dxa"/>
            <w:noWrap w:val="0"/>
            <w:vAlign w:val="top"/>
          </w:tcPr>
          <w:p>
            <w:pPr>
              <w:pStyle w:val="25"/>
              <w:spacing w:line="360" w:lineRule="auto"/>
              <w:rPr>
                <w:rFonts w:hint="eastAsia" w:ascii="宋体" w:hAnsi="宋体" w:eastAsia="宋体" w:cs="宋体"/>
                <w:sz w:val="21"/>
                <w:szCs w:val="21"/>
                <w:lang w:eastAsia="en-US"/>
              </w:rPr>
            </w:pPr>
          </w:p>
          <w:p>
            <w:pPr>
              <w:pStyle w:val="25"/>
              <w:spacing w:before="158" w:line="360" w:lineRule="auto"/>
              <w:ind w:left="9"/>
              <w:jc w:val="center"/>
              <w:rPr>
                <w:rFonts w:hint="eastAsia" w:ascii="宋体" w:hAnsi="宋体" w:eastAsia="宋体" w:cs="宋体"/>
                <w:sz w:val="21"/>
                <w:szCs w:val="21"/>
                <w:lang w:eastAsia="en-US"/>
              </w:rPr>
            </w:pPr>
            <w:r>
              <w:rPr>
                <w:rFonts w:hint="eastAsia" w:ascii="宋体" w:hAnsi="宋体" w:eastAsia="宋体" w:cs="宋体"/>
                <w:sz w:val="21"/>
                <w:szCs w:val="21"/>
                <w:lang w:eastAsia="en-US"/>
              </w:rPr>
              <w:t>价格分</w:t>
            </w:r>
          </w:p>
          <w:p>
            <w:pPr>
              <w:pStyle w:val="25"/>
              <w:tabs>
                <w:tab w:val="left" w:pos="608"/>
              </w:tabs>
              <w:spacing w:before="160" w:line="360" w:lineRule="auto"/>
              <w:ind w:left="9"/>
              <w:jc w:val="center"/>
              <w:rPr>
                <w:rFonts w:hint="eastAsia" w:ascii="宋体" w:hAnsi="宋体" w:eastAsia="宋体" w:cs="宋体"/>
                <w:sz w:val="21"/>
                <w:szCs w:val="21"/>
                <w:lang w:eastAsia="en-US"/>
              </w:rPr>
            </w:pPr>
            <w:r>
              <w:rPr>
                <w:rFonts w:hint="eastAsia" w:ascii="宋体" w:hAnsi="宋体" w:eastAsia="宋体" w:cs="宋体"/>
                <w:sz w:val="21"/>
                <w:szCs w:val="21"/>
                <w:lang w:eastAsia="en-US"/>
              </w:rPr>
              <w:t>（</w:t>
            </w:r>
            <w:r>
              <w:rPr>
                <w:rFonts w:hint="eastAsia" w:ascii="宋体" w:hAnsi="宋体" w:eastAsia="宋体" w:cs="宋体"/>
                <w:sz w:val="21"/>
                <w:szCs w:val="21"/>
                <w:u w:val="single"/>
                <w:lang w:eastAsia="en-US"/>
              </w:rPr>
              <w:t xml:space="preserve"> </w:t>
            </w:r>
            <w:r>
              <w:rPr>
                <w:rFonts w:hint="eastAsia" w:ascii="宋体" w:hAnsi="宋体" w:eastAsia="宋体" w:cs="宋体"/>
                <w:sz w:val="21"/>
                <w:szCs w:val="21"/>
                <w:u w:val="single"/>
                <w:lang w:val="en-US" w:eastAsia="zh-CN"/>
              </w:rPr>
              <w:t>30</w:t>
            </w:r>
            <w:r>
              <w:rPr>
                <w:rFonts w:hint="eastAsia" w:ascii="宋体" w:hAnsi="宋体" w:eastAsia="宋体" w:cs="宋体"/>
                <w:sz w:val="21"/>
                <w:szCs w:val="21"/>
                <w:u w:val="single"/>
                <w:lang w:eastAsia="en-US"/>
              </w:rPr>
              <w:tab/>
            </w:r>
            <w:r>
              <w:rPr>
                <w:rFonts w:hint="eastAsia" w:ascii="宋体" w:hAnsi="宋体" w:eastAsia="宋体" w:cs="宋体"/>
                <w:sz w:val="21"/>
                <w:szCs w:val="21"/>
                <w:lang w:eastAsia="en-US"/>
              </w:rPr>
              <w:t>分）</w:t>
            </w:r>
          </w:p>
        </w:tc>
        <w:tc>
          <w:tcPr>
            <w:tcW w:w="7027" w:type="dxa"/>
            <w:gridSpan w:val="3"/>
            <w:noWrap w:val="0"/>
            <w:vAlign w:val="top"/>
          </w:tcPr>
          <w:p>
            <w:pPr>
              <w:pStyle w:val="25"/>
              <w:spacing w:line="360" w:lineRule="auto"/>
              <w:ind w:left="107" w:right="100"/>
              <w:jc w:val="both"/>
              <w:rPr>
                <w:rFonts w:hint="eastAsia" w:ascii="宋体" w:hAnsi="宋体" w:eastAsia="宋体" w:cs="宋体"/>
                <w:sz w:val="21"/>
                <w:szCs w:val="21"/>
                <w:lang w:val="en-US" w:eastAsia="zh-CN"/>
              </w:rPr>
            </w:pPr>
            <w:r>
              <w:rPr>
                <w:rFonts w:hint="eastAsia" w:ascii="宋体" w:hAnsi="宋体" w:eastAsia="宋体" w:cs="宋体"/>
                <w:sz w:val="21"/>
                <w:szCs w:val="21"/>
              </w:rPr>
              <w:t>价格分统一采用低价优先法，即满足磋商文件要求且价格最低的最后报价为评审基准价，其价格分为满分</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30</w:t>
            </w:r>
            <w:r>
              <w:rPr>
                <w:rFonts w:hint="eastAsia" w:ascii="宋体" w:hAnsi="宋体" w:eastAsia="宋体" w:cs="宋体"/>
                <w:sz w:val="21"/>
                <w:szCs w:val="21"/>
                <w:u w:val="single"/>
              </w:rPr>
              <w:t xml:space="preserve"> </w:t>
            </w:r>
            <w:r>
              <w:rPr>
                <w:rFonts w:hint="eastAsia" w:ascii="宋体" w:hAnsi="宋体" w:eastAsia="宋体" w:cs="宋体"/>
                <w:sz w:val="21"/>
                <w:szCs w:val="21"/>
              </w:rPr>
              <w:t>分。其他供应商的价格分统一按照下列公式计算：</w:t>
            </w:r>
          </w:p>
          <w:p>
            <w:pPr>
              <w:pStyle w:val="25"/>
              <w:tabs>
                <w:tab w:val="left" w:pos="5148"/>
              </w:tabs>
              <w:spacing w:line="360" w:lineRule="auto"/>
              <w:ind w:left="107"/>
              <w:rPr>
                <w:rFonts w:hint="eastAsia" w:ascii="宋体" w:hAnsi="宋体" w:eastAsia="宋体" w:cs="宋体"/>
                <w:sz w:val="21"/>
                <w:szCs w:val="21"/>
              </w:rPr>
            </w:pPr>
            <w:r>
              <w:rPr>
                <w:rFonts w:hint="eastAsia" w:ascii="宋体" w:hAnsi="宋体" w:eastAsia="宋体" w:cs="宋体"/>
                <w:sz w:val="21"/>
                <w:szCs w:val="21"/>
              </w:rPr>
              <w:t>最后报价得分＝（评审基准价/最后报价）×</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30</w:t>
            </w:r>
            <w:r>
              <w:rPr>
                <w:rFonts w:hint="eastAsia" w:ascii="宋体" w:hAnsi="宋体" w:eastAsia="宋体" w:cs="宋体"/>
                <w:sz w:val="21"/>
                <w:szCs w:val="21"/>
              </w:rPr>
              <w:t>％×100</w:t>
            </w:r>
          </w:p>
        </w:tc>
      </w:tr>
    </w:tbl>
    <w:p>
      <w:pPr>
        <w:pStyle w:val="26"/>
        <w:numPr>
          <w:ilvl w:val="2"/>
          <w:numId w:val="21"/>
        </w:numPr>
        <w:tabs>
          <w:tab w:val="left" w:pos="1670"/>
        </w:tabs>
        <w:autoSpaceDE w:val="0"/>
        <w:autoSpaceDN w:val="0"/>
        <w:spacing w:line="360" w:lineRule="auto"/>
        <w:ind w:left="1669" w:hanging="661" w:firstLineChars="0"/>
        <w:rPr>
          <w:rFonts w:ascii="宋体" w:hAnsi="宋体"/>
          <w:szCs w:val="21"/>
        </w:rPr>
      </w:pPr>
      <w:r>
        <w:rPr>
          <w:rFonts w:ascii="宋体" w:hAnsi="宋体"/>
          <w:szCs w:val="21"/>
        </w:rPr>
        <w:t>分值汇总</w:t>
      </w:r>
    </w:p>
    <w:p>
      <w:pPr>
        <w:pStyle w:val="26"/>
        <w:numPr>
          <w:ilvl w:val="0"/>
          <w:numId w:val="22"/>
        </w:numPr>
        <w:tabs>
          <w:tab w:val="left" w:pos="1615"/>
        </w:tabs>
        <w:autoSpaceDE w:val="0"/>
        <w:autoSpaceDN w:val="0"/>
        <w:spacing w:before="161" w:line="360" w:lineRule="auto"/>
        <w:ind w:right="568" w:firstLine="434" w:firstLineChars="0"/>
        <w:rPr>
          <w:rFonts w:ascii="宋体" w:hAnsi="宋体"/>
          <w:szCs w:val="21"/>
        </w:rPr>
      </w:pPr>
      <w:r>
        <w:rPr>
          <w:rFonts w:ascii="宋体" w:hAnsi="宋体"/>
          <w:szCs w:val="21"/>
        </w:rPr>
        <w:t>磋商小组各成员应当独立对每个有效响应的文件进行评价、打分，然后汇总每个供应商每项评分因素的得分（四舍五入保留至小数点后两位数），再将供应商每项评分因素的得分进行汇总，得到该供应商的技术资信分之和。</w:t>
      </w:r>
    </w:p>
    <w:p>
      <w:pPr>
        <w:pStyle w:val="26"/>
        <w:numPr>
          <w:ilvl w:val="0"/>
          <w:numId w:val="22"/>
        </w:numPr>
        <w:tabs>
          <w:tab w:val="left" w:pos="1615"/>
        </w:tabs>
        <w:autoSpaceDE w:val="0"/>
        <w:autoSpaceDN w:val="0"/>
        <w:spacing w:line="360" w:lineRule="auto"/>
        <w:ind w:right="569" w:firstLine="434" w:firstLineChars="0"/>
        <w:rPr>
          <w:rFonts w:ascii="宋体" w:hAnsi="宋体"/>
          <w:szCs w:val="21"/>
        </w:rPr>
      </w:pPr>
      <w:r>
        <w:rPr>
          <w:rFonts w:ascii="宋体" w:hAnsi="宋体"/>
          <w:szCs w:val="21"/>
        </w:rPr>
        <w:t>将每个供应商的技术资信分之和加上根据上述标准计算出的价格分， 即为该供应商的综合总得分。</w:t>
      </w:r>
    </w:p>
    <w:p>
      <w:pPr>
        <w:widowControl/>
        <w:spacing w:line="360" w:lineRule="auto"/>
        <w:jc w:val="left"/>
        <w:rPr>
          <w:rFonts w:ascii="宋体" w:hAnsi="宋体"/>
        </w:rPr>
      </w:pPr>
      <w:r>
        <w:rPr>
          <w:rFonts w:ascii="宋体" w:hAnsi="宋体"/>
        </w:rPr>
        <w:br w:type="page"/>
      </w:r>
    </w:p>
    <w:p>
      <w:pPr>
        <w:pStyle w:val="6"/>
        <w:keepNext/>
        <w:keepLines/>
        <w:pageBreakBefore w:val="0"/>
        <w:widowControl w:val="0"/>
        <w:kinsoku/>
        <w:wordWrap/>
        <w:overflowPunct/>
        <w:topLinePunct w:val="0"/>
        <w:autoSpaceDE/>
        <w:autoSpaceDN/>
        <w:bidi w:val="0"/>
        <w:adjustRightInd/>
        <w:snapToGrid/>
        <w:spacing w:after="90" w:line="360" w:lineRule="auto"/>
        <w:jc w:val="center"/>
        <w:textAlignment w:val="auto"/>
        <w:rPr>
          <w:rFonts w:hint="eastAsia" w:ascii="Times New Roman" w:hAnsi="Times New Roman"/>
        </w:rPr>
      </w:pPr>
      <w:bookmarkStart w:id="49" w:name="_Toc28253"/>
      <w:r>
        <w:rPr>
          <w:rFonts w:hint="eastAsia" w:ascii="Times New Roman" w:hAnsi="Times New Roman"/>
        </w:rPr>
        <w:t>第五章</w:t>
      </w:r>
      <w:r>
        <w:rPr>
          <w:rFonts w:hint="eastAsia" w:ascii="Times New Roman" w:hAnsi="Times New Roman"/>
          <w:lang w:val="en-US" w:eastAsia="zh-CN"/>
        </w:rPr>
        <w:t xml:space="preserve"> </w:t>
      </w:r>
      <w:r>
        <w:rPr>
          <w:rFonts w:hint="eastAsia" w:ascii="Times New Roman" w:hAnsi="Times New Roman"/>
        </w:rPr>
        <w:t>政府采购合同</w:t>
      </w:r>
      <w:bookmarkEnd w:id="49"/>
    </w:p>
    <w:p>
      <w:pPr>
        <w:ind w:left="1367" w:right="1502"/>
        <w:jc w:val="center"/>
        <w:rPr>
          <w:b/>
          <w:sz w:val="28"/>
          <w:szCs w:val="28"/>
        </w:rPr>
      </w:pPr>
      <w:r>
        <w:rPr>
          <w:b/>
          <w:sz w:val="28"/>
          <w:szCs w:val="28"/>
        </w:rPr>
        <w:t>政府采购合同参考范本</w:t>
      </w:r>
    </w:p>
    <w:p>
      <w:pPr>
        <w:spacing w:before="215"/>
        <w:ind w:left="1367" w:right="1500"/>
        <w:jc w:val="center"/>
        <w:rPr>
          <w:b/>
          <w:sz w:val="28"/>
          <w:szCs w:val="28"/>
        </w:rPr>
      </w:pPr>
      <w:r>
        <w:rPr>
          <w:b/>
          <w:w w:val="95"/>
          <w:sz w:val="28"/>
          <w:szCs w:val="28"/>
        </w:rPr>
        <w:t>（货物类）</w:t>
      </w:r>
    </w:p>
    <w:p>
      <w:pPr>
        <w:pStyle w:val="11"/>
        <w:rPr>
          <w:b/>
          <w:sz w:val="28"/>
          <w:szCs w:val="28"/>
        </w:rPr>
      </w:pPr>
    </w:p>
    <w:p>
      <w:pPr>
        <w:pStyle w:val="11"/>
        <w:rPr>
          <w:b/>
          <w:sz w:val="28"/>
          <w:szCs w:val="28"/>
        </w:rPr>
      </w:pPr>
    </w:p>
    <w:p>
      <w:pPr>
        <w:pStyle w:val="11"/>
        <w:rPr>
          <w:b/>
          <w:sz w:val="28"/>
          <w:szCs w:val="28"/>
        </w:rPr>
      </w:pPr>
    </w:p>
    <w:p>
      <w:pPr>
        <w:pStyle w:val="11"/>
        <w:rPr>
          <w:b/>
          <w:sz w:val="28"/>
          <w:szCs w:val="28"/>
        </w:rPr>
      </w:pPr>
    </w:p>
    <w:p>
      <w:pPr>
        <w:pStyle w:val="11"/>
        <w:spacing w:before="10"/>
        <w:rPr>
          <w:b/>
          <w:sz w:val="28"/>
          <w:szCs w:val="28"/>
        </w:rPr>
      </w:pPr>
    </w:p>
    <w:p>
      <w:pPr>
        <w:pStyle w:val="27"/>
        <w:spacing w:before="0"/>
        <w:ind w:left="1367" w:right="1503"/>
        <w:jc w:val="center"/>
        <w:rPr>
          <w:sz w:val="28"/>
          <w:szCs w:val="28"/>
        </w:rPr>
      </w:pPr>
      <w:r>
        <w:rPr>
          <w:spacing w:val="-1"/>
          <w:sz w:val="28"/>
          <w:szCs w:val="28"/>
        </w:rPr>
        <w:t>第一部分 合同书</w:t>
      </w:r>
    </w:p>
    <w:p>
      <w:pPr>
        <w:pStyle w:val="11"/>
        <w:rPr>
          <w:b/>
          <w:sz w:val="28"/>
          <w:szCs w:val="28"/>
        </w:rPr>
      </w:pPr>
    </w:p>
    <w:p>
      <w:pPr>
        <w:pStyle w:val="11"/>
        <w:rPr>
          <w:b/>
          <w:sz w:val="28"/>
          <w:szCs w:val="28"/>
        </w:rPr>
      </w:pPr>
    </w:p>
    <w:p>
      <w:pPr>
        <w:pStyle w:val="11"/>
        <w:rPr>
          <w:b/>
          <w:sz w:val="28"/>
          <w:szCs w:val="28"/>
        </w:rPr>
      </w:pPr>
    </w:p>
    <w:p>
      <w:pPr>
        <w:pStyle w:val="11"/>
        <w:rPr>
          <w:b/>
          <w:sz w:val="28"/>
          <w:szCs w:val="28"/>
        </w:rPr>
      </w:pPr>
    </w:p>
    <w:p>
      <w:pPr>
        <w:pStyle w:val="11"/>
        <w:rPr>
          <w:b/>
          <w:sz w:val="28"/>
          <w:szCs w:val="28"/>
        </w:rPr>
      </w:pPr>
    </w:p>
    <w:p>
      <w:pPr>
        <w:pStyle w:val="11"/>
        <w:rPr>
          <w:b/>
          <w:sz w:val="28"/>
          <w:szCs w:val="28"/>
        </w:rPr>
      </w:pPr>
    </w:p>
    <w:p>
      <w:pPr>
        <w:pStyle w:val="11"/>
        <w:spacing w:before="5"/>
        <w:rPr>
          <w:b/>
          <w:sz w:val="28"/>
          <w:szCs w:val="28"/>
        </w:rPr>
      </w:pPr>
    </w:p>
    <w:p>
      <w:pPr>
        <w:spacing w:before="1"/>
        <w:ind w:left="330" w:right="135"/>
        <w:jc w:val="center"/>
        <w:rPr>
          <w:i/>
          <w:sz w:val="28"/>
          <w:szCs w:val="28"/>
        </w:rPr>
      </w:pPr>
      <w:r>
        <w:rPr>
          <w:sz w:val="28"/>
          <w:szCs w:val="28"/>
        </w:rPr>
        <w:t>项目名称：</w:t>
      </w:r>
      <w:r>
        <w:rPr>
          <w:sz w:val="28"/>
          <w:szCs w:val="28"/>
          <w:u w:val="single"/>
        </w:rPr>
        <w:t>某项目</w:t>
      </w:r>
      <w:r>
        <w:rPr>
          <w:i/>
          <w:sz w:val="28"/>
          <w:szCs w:val="28"/>
        </w:rPr>
        <w:t>（分包项目须填写完整的分包号及分包名称）</w:t>
      </w:r>
    </w:p>
    <w:p>
      <w:pPr>
        <w:pStyle w:val="11"/>
        <w:spacing w:before="8"/>
        <w:rPr>
          <w:i/>
          <w:sz w:val="28"/>
          <w:szCs w:val="28"/>
        </w:rPr>
      </w:pPr>
    </w:p>
    <w:p>
      <w:pPr>
        <w:pStyle w:val="11"/>
        <w:spacing w:before="67"/>
        <w:ind w:left="1180"/>
        <w:rPr>
          <w:sz w:val="28"/>
          <w:szCs w:val="28"/>
        </w:rPr>
      </w:pPr>
      <w:r>
        <w:rPr>
          <w:sz w:val="28"/>
          <w:szCs w:val="28"/>
        </w:rPr>
        <w:t>项目编号：</w:t>
      </w:r>
      <w:r>
        <w:rPr>
          <w:sz w:val="28"/>
          <w:szCs w:val="28"/>
          <w:u w:val="single"/>
        </w:rPr>
        <w:t>某编号</w:t>
      </w:r>
    </w:p>
    <w:p>
      <w:pPr>
        <w:pStyle w:val="11"/>
        <w:spacing w:before="3"/>
        <w:rPr>
          <w:sz w:val="28"/>
          <w:szCs w:val="28"/>
        </w:rPr>
      </w:pPr>
    </w:p>
    <w:p>
      <w:pPr>
        <w:pStyle w:val="11"/>
        <w:tabs>
          <w:tab w:val="left" w:pos="6636"/>
        </w:tabs>
        <w:spacing w:before="74"/>
        <w:ind w:left="1180"/>
        <w:rPr>
          <w:rFonts w:ascii="Times New Roman" w:eastAsia="Times New Roman"/>
          <w:sz w:val="28"/>
          <w:szCs w:val="28"/>
        </w:rPr>
      </w:pPr>
      <w:r>
        <w:rPr>
          <w:sz w:val="28"/>
          <w:szCs w:val="28"/>
        </w:rPr>
        <w:t>甲方（采购人</w:t>
      </w:r>
      <w:r>
        <w:rPr>
          <w:spacing w:val="-120"/>
          <w:sz w:val="28"/>
          <w:szCs w:val="28"/>
        </w:rPr>
        <w:t>）</w:t>
      </w:r>
      <w:r>
        <w:rPr>
          <w:sz w:val="28"/>
          <w:szCs w:val="28"/>
        </w:rPr>
        <w:t>：</w:t>
      </w:r>
      <w:r>
        <w:rPr>
          <w:rFonts w:ascii="Times New Roman" w:eastAsia="Times New Roman"/>
          <w:sz w:val="28"/>
          <w:szCs w:val="28"/>
          <w:u w:val="single"/>
        </w:rPr>
        <w:t xml:space="preserve"> </w:t>
      </w:r>
      <w:r>
        <w:rPr>
          <w:rFonts w:ascii="Times New Roman" w:eastAsia="Times New Roman"/>
          <w:sz w:val="28"/>
          <w:szCs w:val="28"/>
          <w:u w:val="single"/>
        </w:rPr>
        <w:tab/>
      </w:r>
    </w:p>
    <w:p>
      <w:pPr>
        <w:pStyle w:val="11"/>
        <w:rPr>
          <w:rFonts w:ascii="Times New Roman"/>
          <w:sz w:val="28"/>
          <w:szCs w:val="28"/>
        </w:rPr>
      </w:pPr>
    </w:p>
    <w:p>
      <w:pPr>
        <w:pStyle w:val="11"/>
        <w:tabs>
          <w:tab w:val="left" w:pos="6636"/>
        </w:tabs>
        <w:spacing w:before="207"/>
        <w:ind w:left="1180"/>
        <w:rPr>
          <w:rFonts w:ascii="Times New Roman" w:eastAsia="Times New Roman"/>
          <w:sz w:val="28"/>
          <w:szCs w:val="28"/>
        </w:rPr>
      </w:pPr>
      <w:r>
        <w:rPr>
          <w:sz w:val="28"/>
          <w:szCs w:val="28"/>
        </w:rPr>
        <w:t>乙方（中标人</w:t>
      </w:r>
      <w:r>
        <w:rPr>
          <w:spacing w:val="-120"/>
          <w:sz w:val="28"/>
          <w:szCs w:val="28"/>
        </w:rPr>
        <w:t>）</w:t>
      </w:r>
      <w:r>
        <w:rPr>
          <w:sz w:val="28"/>
          <w:szCs w:val="28"/>
        </w:rPr>
        <w:t>：</w:t>
      </w:r>
      <w:r>
        <w:rPr>
          <w:rFonts w:ascii="Times New Roman" w:eastAsia="Times New Roman"/>
          <w:sz w:val="28"/>
          <w:szCs w:val="28"/>
          <w:u w:val="single"/>
        </w:rPr>
        <w:t xml:space="preserve"> </w:t>
      </w:r>
      <w:r>
        <w:rPr>
          <w:rFonts w:ascii="Times New Roman" w:eastAsia="Times New Roman"/>
          <w:sz w:val="28"/>
          <w:szCs w:val="28"/>
          <w:u w:val="single"/>
        </w:rPr>
        <w:tab/>
      </w:r>
    </w:p>
    <w:p>
      <w:pPr>
        <w:pStyle w:val="11"/>
        <w:rPr>
          <w:rFonts w:ascii="Times New Roman"/>
          <w:sz w:val="28"/>
          <w:szCs w:val="28"/>
        </w:rPr>
      </w:pPr>
    </w:p>
    <w:p>
      <w:pPr>
        <w:pStyle w:val="11"/>
        <w:tabs>
          <w:tab w:val="left" w:pos="6636"/>
        </w:tabs>
        <w:spacing w:before="207"/>
        <w:ind w:left="1180"/>
        <w:rPr>
          <w:rFonts w:ascii="Times New Roman" w:eastAsia="Times New Roman"/>
          <w:sz w:val="28"/>
          <w:szCs w:val="28"/>
        </w:rPr>
      </w:pPr>
      <w:r>
        <w:rPr>
          <w:sz w:val="28"/>
          <w:szCs w:val="28"/>
        </w:rPr>
        <w:t>签订地：</w:t>
      </w:r>
      <w:r>
        <w:rPr>
          <w:rFonts w:ascii="Times New Roman" w:eastAsia="Times New Roman"/>
          <w:sz w:val="28"/>
          <w:szCs w:val="28"/>
          <w:u w:val="single"/>
        </w:rPr>
        <w:t xml:space="preserve"> </w:t>
      </w:r>
      <w:r>
        <w:rPr>
          <w:rFonts w:ascii="Times New Roman" w:eastAsia="Times New Roman"/>
          <w:sz w:val="28"/>
          <w:szCs w:val="28"/>
          <w:u w:val="single"/>
        </w:rPr>
        <w:tab/>
      </w:r>
    </w:p>
    <w:p>
      <w:pPr>
        <w:pStyle w:val="11"/>
        <w:rPr>
          <w:rFonts w:ascii="Times New Roman"/>
          <w:sz w:val="28"/>
          <w:szCs w:val="28"/>
        </w:rPr>
      </w:pPr>
    </w:p>
    <w:p>
      <w:pPr>
        <w:pStyle w:val="11"/>
        <w:tabs>
          <w:tab w:val="left" w:pos="4180"/>
          <w:tab w:val="left" w:pos="5261"/>
          <w:tab w:val="left" w:pos="6341"/>
        </w:tabs>
        <w:spacing w:before="206"/>
        <w:ind w:left="1180"/>
      </w:pPr>
      <w:r>
        <w:rPr>
          <w:sz w:val="28"/>
          <w:szCs w:val="28"/>
        </w:rPr>
        <w:t>签订日期：</w:t>
      </w:r>
      <w:r>
        <w:rPr>
          <w:sz w:val="28"/>
          <w:szCs w:val="28"/>
          <w:u w:val="single"/>
        </w:rPr>
        <w:t xml:space="preserve"> </w:t>
      </w:r>
      <w:r>
        <w:rPr>
          <w:sz w:val="28"/>
          <w:szCs w:val="28"/>
          <w:u w:val="single"/>
        </w:rPr>
        <w:tab/>
      </w:r>
      <w:r>
        <w:rPr>
          <w:sz w:val="28"/>
          <w:szCs w:val="28"/>
        </w:rPr>
        <w:t>年</w:t>
      </w:r>
      <w:r>
        <w:rPr>
          <w:sz w:val="28"/>
          <w:szCs w:val="28"/>
          <w:u w:val="single"/>
        </w:rPr>
        <w:t xml:space="preserve"> </w:t>
      </w:r>
      <w:r>
        <w:rPr>
          <w:sz w:val="28"/>
          <w:szCs w:val="28"/>
          <w:u w:val="single"/>
        </w:rPr>
        <w:tab/>
      </w:r>
      <w:r>
        <w:rPr>
          <w:sz w:val="28"/>
          <w:szCs w:val="28"/>
        </w:rPr>
        <w:t>月</w:t>
      </w:r>
      <w:r>
        <w:rPr>
          <w:sz w:val="28"/>
          <w:szCs w:val="28"/>
          <w:u w:val="single"/>
        </w:rPr>
        <w:t xml:space="preserve"> </w:t>
      </w:r>
      <w:r>
        <w:rPr>
          <w:sz w:val="28"/>
          <w:szCs w:val="28"/>
          <w:u w:val="single"/>
        </w:rPr>
        <w:tab/>
      </w:r>
      <w:r>
        <w:t>日</w:t>
      </w:r>
    </w:p>
    <w:p>
      <w:pPr>
        <w:sectPr>
          <w:pgSz w:w="11910" w:h="16840"/>
          <w:pgMar w:top="1380" w:right="1440" w:bottom="1500" w:left="1580" w:header="877" w:footer="1304" w:gutter="0"/>
          <w:pgNumType w:fmt="decimal"/>
          <w:cols w:space="720" w:num="1"/>
        </w:sectPr>
      </w:pPr>
    </w:p>
    <w:p>
      <w:pPr>
        <w:pStyle w:val="11"/>
        <w:spacing w:before="132" w:line="360" w:lineRule="auto"/>
        <w:ind w:right="356" w:firstLine="434"/>
        <w:jc w:val="both"/>
        <w:rPr>
          <w:sz w:val="21"/>
          <w:szCs w:val="21"/>
        </w:rPr>
      </w:pPr>
      <w:r>
        <w:rPr>
          <w:spacing w:val="-4"/>
          <w:sz w:val="21"/>
          <w:szCs w:val="21"/>
          <w:u w:val="single"/>
        </w:rPr>
        <w:t>某采购单位</w:t>
      </w:r>
      <w:r>
        <w:rPr>
          <w:sz w:val="21"/>
          <w:szCs w:val="21"/>
        </w:rPr>
        <w:t>（</w:t>
      </w:r>
      <w:r>
        <w:rPr>
          <w:spacing w:val="-4"/>
          <w:sz w:val="21"/>
          <w:szCs w:val="21"/>
        </w:rPr>
        <w:t>以下简称：甲方</w:t>
      </w:r>
      <w:r>
        <w:rPr>
          <w:spacing w:val="-17"/>
          <w:sz w:val="21"/>
          <w:szCs w:val="21"/>
        </w:rPr>
        <w:t>）</w:t>
      </w:r>
      <w:r>
        <w:rPr>
          <w:sz w:val="21"/>
          <w:szCs w:val="21"/>
        </w:rPr>
        <w:t>通过</w:t>
      </w:r>
      <w:r>
        <w:rPr>
          <w:sz w:val="21"/>
          <w:szCs w:val="21"/>
          <w:u w:val="single"/>
        </w:rPr>
        <w:t>某代理机构</w:t>
      </w:r>
      <w:r>
        <w:rPr>
          <w:sz w:val="21"/>
          <w:szCs w:val="21"/>
        </w:rPr>
        <w:t>组织的</w:t>
      </w:r>
      <w:r>
        <w:rPr>
          <w:rFonts w:hint="eastAsia"/>
          <w:sz w:val="21"/>
          <w:szCs w:val="21"/>
          <w:u w:val="single"/>
        </w:rPr>
        <w:t>竞争性</w:t>
      </w:r>
      <w:r>
        <w:rPr>
          <w:sz w:val="21"/>
          <w:szCs w:val="21"/>
          <w:u w:val="single"/>
        </w:rPr>
        <w:t>磋商</w:t>
      </w:r>
      <w:r>
        <w:rPr>
          <w:spacing w:val="-3"/>
          <w:sz w:val="21"/>
          <w:szCs w:val="21"/>
        </w:rPr>
        <w:t>方式采购活</w:t>
      </w:r>
      <w:r>
        <w:rPr>
          <w:spacing w:val="-7"/>
          <w:sz w:val="21"/>
          <w:szCs w:val="21"/>
        </w:rPr>
        <w:t>动，经</w:t>
      </w:r>
      <w:r>
        <w:rPr>
          <w:rFonts w:hint="eastAsia"/>
          <w:sz w:val="21"/>
          <w:szCs w:val="21"/>
          <w:u w:val="single"/>
        </w:rPr>
        <w:t>磋商</w:t>
      </w:r>
      <w:r>
        <w:rPr>
          <w:sz w:val="21"/>
          <w:szCs w:val="21"/>
          <w:u w:val="single"/>
        </w:rPr>
        <w:t>小组</w:t>
      </w:r>
      <w:r>
        <w:rPr>
          <w:spacing w:val="-45"/>
          <w:sz w:val="21"/>
          <w:szCs w:val="21"/>
        </w:rPr>
        <w:t>评</w:t>
      </w:r>
      <w:r>
        <w:rPr>
          <w:rFonts w:hint="eastAsia"/>
          <w:spacing w:val="-45"/>
          <w:sz w:val="21"/>
          <w:szCs w:val="21"/>
        </w:rPr>
        <w:t xml:space="preserve">  </w:t>
      </w:r>
      <w:r>
        <w:rPr>
          <w:spacing w:val="-45"/>
          <w:sz w:val="21"/>
          <w:szCs w:val="21"/>
        </w:rPr>
        <w:t>定，</w:t>
      </w:r>
      <w:r>
        <w:rPr>
          <w:i/>
          <w:w w:val="96"/>
          <w:sz w:val="21"/>
          <w:szCs w:val="21"/>
          <w:u w:val="single"/>
        </w:rPr>
        <w:t>（中标人名称</w:t>
      </w:r>
      <w:r>
        <w:rPr>
          <w:i/>
          <w:spacing w:val="-137"/>
          <w:w w:val="96"/>
          <w:sz w:val="21"/>
          <w:szCs w:val="21"/>
          <w:u w:val="single"/>
        </w:rPr>
        <w:t>）</w:t>
      </w:r>
      <w:r>
        <w:rPr>
          <w:sz w:val="21"/>
          <w:szCs w:val="21"/>
        </w:rPr>
        <w:t>（</w:t>
      </w:r>
      <w:r>
        <w:rPr>
          <w:spacing w:val="-4"/>
          <w:sz w:val="21"/>
          <w:szCs w:val="21"/>
        </w:rPr>
        <w:t>以下简称：乙方</w:t>
      </w:r>
      <w:r>
        <w:rPr>
          <w:spacing w:val="-17"/>
          <w:sz w:val="21"/>
          <w:szCs w:val="21"/>
        </w:rPr>
        <w:t>）</w:t>
      </w:r>
      <w:r>
        <w:rPr>
          <w:spacing w:val="-5"/>
          <w:sz w:val="21"/>
          <w:szCs w:val="21"/>
        </w:rPr>
        <w:t>为本项目中标人，现</w:t>
      </w:r>
      <w:r>
        <w:rPr>
          <w:sz w:val="21"/>
          <w:szCs w:val="21"/>
        </w:rPr>
        <w:t>按照采购文件确定的事项签订本合同。</w:t>
      </w:r>
    </w:p>
    <w:p>
      <w:pPr>
        <w:pStyle w:val="11"/>
        <w:spacing w:before="10" w:line="360" w:lineRule="auto"/>
        <w:ind w:right="359" w:firstLine="434"/>
        <w:jc w:val="both"/>
        <w:rPr>
          <w:sz w:val="21"/>
          <w:szCs w:val="21"/>
        </w:rPr>
      </w:pPr>
      <w:r>
        <w:rPr>
          <w:spacing w:val="-18"/>
          <w:sz w:val="21"/>
          <w:szCs w:val="21"/>
        </w:rPr>
        <w:t>根据</w:t>
      </w:r>
      <w:r>
        <w:rPr>
          <w:rFonts w:hint="eastAsia"/>
          <w:sz w:val="21"/>
          <w:szCs w:val="21"/>
        </w:rPr>
        <w:t>《中华人民共和国民法典》</w:t>
      </w:r>
      <w:r>
        <w:rPr>
          <w:spacing w:val="-18"/>
          <w:sz w:val="21"/>
          <w:szCs w:val="21"/>
        </w:rPr>
        <w:t>、《中华人民共和国政府采购法》等相关法律</w:t>
      </w:r>
      <w:r>
        <w:rPr>
          <w:spacing w:val="-20"/>
          <w:sz w:val="21"/>
          <w:szCs w:val="21"/>
        </w:rPr>
        <w:t xml:space="preserve">法规之规定，按照平等、自愿、公平和诚实信用的原则，经甲方和乙方协商一致， </w:t>
      </w:r>
      <w:r>
        <w:rPr>
          <w:sz w:val="21"/>
          <w:szCs w:val="21"/>
        </w:rPr>
        <w:t>约定以下合同条款，以兹共同遵守、全面履行。</w:t>
      </w:r>
    </w:p>
    <w:p>
      <w:pPr>
        <w:pStyle w:val="27"/>
        <w:numPr>
          <w:ilvl w:val="1"/>
          <w:numId w:val="23"/>
        </w:numPr>
        <w:tabs>
          <w:tab w:val="left" w:pos="1142"/>
        </w:tabs>
        <w:spacing w:before="2" w:line="360" w:lineRule="auto"/>
        <w:jc w:val="both"/>
        <w:rPr>
          <w:sz w:val="21"/>
          <w:szCs w:val="21"/>
        </w:rPr>
      </w:pPr>
      <w:r>
        <w:rPr>
          <w:sz w:val="21"/>
          <w:szCs w:val="21"/>
        </w:rPr>
        <w:t>合同组成部分</w:t>
      </w:r>
    </w:p>
    <w:p>
      <w:pPr>
        <w:pStyle w:val="11"/>
        <w:spacing w:before="161" w:line="360" w:lineRule="auto"/>
        <w:ind w:right="237" w:firstLine="434"/>
        <w:rPr>
          <w:sz w:val="21"/>
          <w:szCs w:val="21"/>
        </w:rPr>
      </w:pPr>
      <w:r>
        <w:rPr>
          <w:sz w:val="21"/>
          <w:szCs w:val="21"/>
        </w:rPr>
        <w:t>下列文件为本合同的组成部分，并构成一个整体，需综合解释、相互补充。</w:t>
      </w:r>
      <w:r>
        <w:rPr>
          <w:spacing w:val="-6"/>
          <w:sz w:val="21"/>
          <w:szCs w:val="21"/>
        </w:rPr>
        <w:t>如果下列文件内容出现不一致的情形，那么在保证按照采购文件确定的事项前提下，组成本合同的多个文件的优先适用顺序如下：</w:t>
      </w:r>
    </w:p>
    <w:p>
      <w:pPr>
        <w:pStyle w:val="26"/>
        <w:numPr>
          <w:ilvl w:val="2"/>
          <w:numId w:val="23"/>
        </w:numPr>
        <w:tabs>
          <w:tab w:val="left" w:pos="1315"/>
        </w:tabs>
        <w:autoSpaceDE w:val="0"/>
        <w:autoSpaceDN w:val="0"/>
        <w:spacing w:before="2" w:line="360" w:lineRule="auto"/>
        <w:ind w:hanging="661" w:firstLineChars="0"/>
        <w:rPr>
          <w:rFonts w:ascii="宋体" w:hAnsi="宋体"/>
          <w:szCs w:val="21"/>
        </w:rPr>
      </w:pPr>
      <w:r>
        <w:rPr>
          <w:rFonts w:ascii="宋体" w:hAnsi="宋体"/>
          <w:szCs w:val="21"/>
        </w:rPr>
        <w:t>本合同及其补充合同、变更协议；</w:t>
      </w:r>
    </w:p>
    <w:p>
      <w:pPr>
        <w:pStyle w:val="26"/>
        <w:numPr>
          <w:ilvl w:val="2"/>
          <w:numId w:val="23"/>
        </w:numPr>
        <w:tabs>
          <w:tab w:val="left" w:pos="1315"/>
        </w:tabs>
        <w:autoSpaceDE w:val="0"/>
        <w:autoSpaceDN w:val="0"/>
        <w:spacing w:before="160" w:line="360" w:lineRule="auto"/>
        <w:ind w:hanging="661" w:firstLineChars="0"/>
        <w:rPr>
          <w:rFonts w:ascii="宋体" w:hAnsi="宋体"/>
          <w:szCs w:val="21"/>
        </w:rPr>
      </w:pPr>
      <w:r>
        <w:rPr>
          <w:rFonts w:ascii="宋体" w:hAnsi="宋体"/>
          <w:szCs w:val="21"/>
        </w:rPr>
        <w:t>中标通知书；</w:t>
      </w:r>
    </w:p>
    <w:p>
      <w:pPr>
        <w:pStyle w:val="26"/>
        <w:numPr>
          <w:ilvl w:val="2"/>
          <w:numId w:val="23"/>
        </w:numPr>
        <w:tabs>
          <w:tab w:val="left" w:pos="1315"/>
        </w:tabs>
        <w:autoSpaceDE w:val="0"/>
        <w:autoSpaceDN w:val="0"/>
        <w:spacing w:before="161" w:line="360" w:lineRule="auto"/>
        <w:ind w:hanging="661" w:firstLineChars="0"/>
        <w:rPr>
          <w:rFonts w:ascii="宋体" w:hAnsi="宋体"/>
          <w:szCs w:val="21"/>
        </w:rPr>
      </w:pPr>
      <w:r>
        <w:rPr>
          <w:rFonts w:ascii="宋体" w:hAnsi="宋体"/>
          <w:szCs w:val="21"/>
        </w:rPr>
        <w:t>响应文件（含澄清或者说明文件</w:t>
      </w:r>
      <w:r>
        <w:rPr>
          <w:rFonts w:ascii="宋体" w:hAnsi="宋体"/>
          <w:spacing w:val="-120"/>
          <w:szCs w:val="21"/>
        </w:rPr>
        <w:t>）</w:t>
      </w:r>
      <w:r>
        <w:rPr>
          <w:rFonts w:ascii="宋体" w:hAnsi="宋体"/>
          <w:szCs w:val="21"/>
        </w:rPr>
        <w:t>；</w:t>
      </w:r>
    </w:p>
    <w:p>
      <w:pPr>
        <w:pStyle w:val="26"/>
        <w:numPr>
          <w:ilvl w:val="2"/>
          <w:numId w:val="23"/>
        </w:numPr>
        <w:tabs>
          <w:tab w:val="left" w:pos="1315"/>
        </w:tabs>
        <w:autoSpaceDE w:val="0"/>
        <w:autoSpaceDN w:val="0"/>
        <w:spacing w:before="160" w:line="360" w:lineRule="auto"/>
        <w:ind w:hanging="661" w:firstLineChars="0"/>
        <w:rPr>
          <w:rFonts w:ascii="宋体" w:hAnsi="宋体"/>
          <w:szCs w:val="21"/>
        </w:rPr>
      </w:pPr>
      <w:r>
        <w:rPr>
          <w:rFonts w:ascii="宋体" w:hAnsi="宋体"/>
          <w:szCs w:val="21"/>
        </w:rPr>
        <w:t>竞争性磋商文件（含澄清或者修改文件</w:t>
      </w:r>
      <w:r>
        <w:rPr>
          <w:rFonts w:ascii="宋体" w:hAnsi="宋体"/>
          <w:spacing w:val="-120"/>
          <w:szCs w:val="21"/>
        </w:rPr>
        <w:t>）</w:t>
      </w:r>
      <w:r>
        <w:rPr>
          <w:rFonts w:ascii="宋体" w:hAnsi="宋体"/>
          <w:szCs w:val="21"/>
        </w:rPr>
        <w:t>；</w:t>
      </w:r>
    </w:p>
    <w:p>
      <w:pPr>
        <w:pStyle w:val="26"/>
        <w:numPr>
          <w:ilvl w:val="2"/>
          <w:numId w:val="23"/>
        </w:numPr>
        <w:tabs>
          <w:tab w:val="left" w:pos="1315"/>
        </w:tabs>
        <w:autoSpaceDE w:val="0"/>
        <w:autoSpaceDN w:val="0"/>
        <w:spacing w:before="161" w:line="360" w:lineRule="auto"/>
        <w:ind w:hanging="661" w:firstLineChars="0"/>
        <w:rPr>
          <w:rFonts w:ascii="宋体" w:hAnsi="宋体"/>
          <w:szCs w:val="21"/>
        </w:rPr>
      </w:pPr>
      <w:r>
        <w:rPr>
          <w:rFonts w:ascii="宋体" w:hAnsi="宋体"/>
          <w:szCs w:val="21"/>
        </w:rPr>
        <w:t>其他相关采购文件。</w:t>
      </w:r>
    </w:p>
    <w:p>
      <w:pPr>
        <w:pStyle w:val="27"/>
        <w:numPr>
          <w:ilvl w:val="1"/>
          <w:numId w:val="23"/>
        </w:numPr>
        <w:tabs>
          <w:tab w:val="left" w:pos="1142"/>
        </w:tabs>
        <w:spacing w:before="161" w:line="360" w:lineRule="auto"/>
        <w:rPr>
          <w:sz w:val="21"/>
          <w:szCs w:val="21"/>
        </w:rPr>
      </w:pPr>
      <w:r>
        <w:rPr>
          <w:w w:val="95"/>
          <w:sz w:val="21"/>
          <w:szCs w:val="21"/>
        </w:rPr>
        <w:t>货物</w:t>
      </w:r>
    </w:p>
    <w:p>
      <w:pPr>
        <w:pStyle w:val="11"/>
        <w:spacing w:before="4" w:line="360" w:lineRule="auto"/>
        <w:rPr>
          <w:b/>
          <w:sz w:val="21"/>
          <w:szCs w:val="21"/>
        </w:rPr>
      </w:pPr>
    </w:p>
    <w:tbl>
      <w:tblPr>
        <w:tblStyle w:val="19"/>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0"/>
        <w:gridCol w:w="1515"/>
        <w:gridCol w:w="1517"/>
        <w:gridCol w:w="1513"/>
        <w:gridCol w:w="1513"/>
        <w:gridCol w:w="15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60" w:type="dxa"/>
            <w:noWrap w:val="0"/>
            <w:vAlign w:val="top"/>
          </w:tcPr>
          <w:p>
            <w:pPr>
              <w:pStyle w:val="25"/>
              <w:spacing w:line="360" w:lineRule="auto"/>
              <w:ind w:left="219" w:right="210"/>
              <w:jc w:val="center"/>
              <w:rPr>
                <w:sz w:val="21"/>
                <w:szCs w:val="21"/>
                <w:lang w:eastAsia="en-US"/>
              </w:rPr>
            </w:pPr>
            <w:r>
              <w:rPr>
                <w:sz w:val="21"/>
                <w:szCs w:val="21"/>
                <w:lang w:eastAsia="en-US"/>
              </w:rPr>
              <w:t>序号</w:t>
            </w:r>
          </w:p>
        </w:tc>
        <w:tc>
          <w:tcPr>
            <w:tcW w:w="1515" w:type="dxa"/>
            <w:noWrap w:val="0"/>
            <w:vAlign w:val="top"/>
          </w:tcPr>
          <w:p>
            <w:pPr>
              <w:pStyle w:val="25"/>
              <w:spacing w:line="360" w:lineRule="auto"/>
              <w:ind w:left="275"/>
              <w:rPr>
                <w:sz w:val="21"/>
                <w:szCs w:val="21"/>
                <w:lang w:eastAsia="en-US"/>
              </w:rPr>
            </w:pPr>
            <w:r>
              <w:rPr>
                <w:sz w:val="21"/>
                <w:szCs w:val="21"/>
                <w:lang w:eastAsia="en-US"/>
              </w:rPr>
              <w:t>货物名称</w:t>
            </w:r>
          </w:p>
        </w:tc>
        <w:tc>
          <w:tcPr>
            <w:tcW w:w="1517" w:type="dxa"/>
            <w:noWrap w:val="0"/>
            <w:vAlign w:val="top"/>
          </w:tcPr>
          <w:p>
            <w:pPr>
              <w:pStyle w:val="25"/>
              <w:spacing w:line="360" w:lineRule="auto"/>
              <w:ind w:left="275"/>
              <w:rPr>
                <w:sz w:val="21"/>
                <w:szCs w:val="21"/>
                <w:lang w:eastAsia="en-US"/>
              </w:rPr>
            </w:pPr>
            <w:r>
              <w:rPr>
                <w:sz w:val="21"/>
                <w:szCs w:val="21"/>
                <w:lang w:eastAsia="en-US"/>
              </w:rPr>
              <w:t>规格型号</w:t>
            </w:r>
          </w:p>
        </w:tc>
        <w:tc>
          <w:tcPr>
            <w:tcW w:w="1513" w:type="dxa"/>
            <w:noWrap w:val="0"/>
            <w:vAlign w:val="top"/>
          </w:tcPr>
          <w:p>
            <w:pPr>
              <w:pStyle w:val="25"/>
              <w:spacing w:line="360" w:lineRule="auto"/>
              <w:ind w:left="492" w:right="484"/>
              <w:jc w:val="center"/>
              <w:rPr>
                <w:sz w:val="21"/>
                <w:szCs w:val="21"/>
                <w:lang w:eastAsia="en-US"/>
              </w:rPr>
            </w:pPr>
            <w:r>
              <w:rPr>
                <w:sz w:val="21"/>
                <w:szCs w:val="21"/>
                <w:lang w:eastAsia="en-US"/>
              </w:rPr>
              <w:t>单位</w:t>
            </w:r>
          </w:p>
        </w:tc>
        <w:tc>
          <w:tcPr>
            <w:tcW w:w="1513" w:type="dxa"/>
            <w:noWrap w:val="0"/>
            <w:vAlign w:val="top"/>
          </w:tcPr>
          <w:p>
            <w:pPr>
              <w:pStyle w:val="25"/>
              <w:spacing w:line="360" w:lineRule="auto"/>
              <w:ind w:left="489" w:right="487"/>
              <w:jc w:val="center"/>
              <w:rPr>
                <w:sz w:val="21"/>
                <w:szCs w:val="21"/>
                <w:lang w:eastAsia="en-US"/>
              </w:rPr>
            </w:pPr>
            <w:r>
              <w:rPr>
                <w:sz w:val="21"/>
                <w:szCs w:val="21"/>
                <w:lang w:eastAsia="en-US"/>
              </w:rPr>
              <w:t>数量</w:t>
            </w:r>
          </w:p>
        </w:tc>
        <w:tc>
          <w:tcPr>
            <w:tcW w:w="1509" w:type="dxa"/>
            <w:noWrap w:val="0"/>
            <w:vAlign w:val="top"/>
          </w:tcPr>
          <w:p>
            <w:pPr>
              <w:pStyle w:val="25"/>
              <w:spacing w:line="360" w:lineRule="auto"/>
              <w:ind w:left="269"/>
              <w:rPr>
                <w:sz w:val="21"/>
                <w:szCs w:val="21"/>
                <w:lang w:eastAsia="en-US"/>
              </w:rPr>
            </w:pPr>
            <w:r>
              <w:rPr>
                <w:sz w:val="21"/>
                <w:szCs w:val="21"/>
                <w:lang w:eastAsia="en-US"/>
              </w:rPr>
              <w:t>生产厂商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60" w:type="dxa"/>
            <w:noWrap w:val="0"/>
            <w:vAlign w:val="top"/>
          </w:tcPr>
          <w:p>
            <w:pPr>
              <w:pStyle w:val="25"/>
              <w:spacing w:line="360" w:lineRule="auto"/>
              <w:ind w:left="9"/>
              <w:jc w:val="center"/>
              <w:rPr>
                <w:sz w:val="21"/>
                <w:szCs w:val="21"/>
                <w:lang w:eastAsia="en-US"/>
              </w:rPr>
            </w:pPr>
            <w:r>
              <w:rPr>
                <w:sz w:val="21"/>
                <w:szCs w:val="21"/>
                <w:lang w:eastAsia="en-US"/>
              </w:rPr>
              <w:t>1</w:t>
            </w:r>
          </w:p>
        </w:tc>
        <w:tc>
          <w:tcPr>
            <w:tcW w:w="1515" w:type="dxa"/>
            <w:noWrap w:val="0"/>
            <w:vAlign w:val="top"/>
          </w:tcPr>
          <w:p>
            <w:pPr>
              <w:pStyle w:val="25"/>
              <w:spacing w:line="360" w:lineRule="auto"/>
              <w:rPr>
                <w:sz w:val="21"/>
                <w:szCs w:val="21"/>
                <w:lang w:eastAsia="en-US"/>
              </w:rPr>
            </w:pPr>
          </w:p>
        </w:tc>
        <w:tc>
          <w:tcPr>
            <w:tcW w:w="1517" w:type="dxa"/>
            <w:noWrap w:val="0"/>
            <w:vAlign w:val="top"/>
          </w:tcPr>
          <w:p>
            <w:pPr>
              <w:pStyle w:val="25"/>
              <w:spacing w:line="360" w:lineRule="auto"/>
              <w:rPr>
                <w:sz w:val="21"/>
                <w:szCs w:val="21"/>
                <w:lang w:eastAsia="en-US"/>
              </w:rPr>
            </w:pPr>
          </w:p>
        </w:tc>
        <w:tc>
          <w:tcPr>
            <w:tcW w:w="1513" w:type="dxa"/>
            <w:noWrap w:val="0"/>
            <w:vAlign w:val="top"/>
          </w:tcPr>
          <w:p>
            <w:pPr>
              <w:pStyle w:val="25"/>
              <w:spacing w:line="360" w:lineRule="auto"/>
              <w:rPr>
                <w:sz w:val="21"/>
                <w:szCs w:val="21"/>
                <w:lang w:eastAsia="en-US"/>
              </w:rPr>
            </w:pPr>
          </w:p>
        </w:tc>
        <w:tc>
          <w:tcPr>
            <w:tcW w:w="1513" w:type="dxa"/>
            <w:noWrap w:val="0"/>
            <w:vAlign w:val="top"/>
          </w:tcPr>
          <w:p>
            <w:pPr>
              <w:pStyle w:val="25"/>
              <w:spacing w:line="360" w:lineRule="auto"/>
              <w:rPr>
                <w:sz w:val="21"/>
                <w:szCs w:val="21"/>
                <w:lang w:eastAsia="en-US"/>
              </w:rPr>
            </w:pPr>
          </w:p>
        </w:tc>
        <w:tc>
          <w:tcPr>
            <w:tcW w:w="1509"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60" w:type="dxa"/>
            <w:noWrap w:val="0"/>
            <w:vAlign w:val="top"/>
          </w:tcPr>
          <w:p>
            <w:pPr>
              <w:pStyle w:val="25"/>
              <w:spacing w:line="360" w:lineRule="auto"/>
              <w:ind w:left="9"/>
              <w:jc w:val="center"/>
              <w:rPr>
                <w:sz w:val="21"/>
                <w:szCs w:val="21"/>
                <w:lang w:eastAsia="en-US"/>
              </w:rPr>
            </w:pPr>
            <w:r>
              <w:rPr>
                <w:sz w:val="21"/>
                <w:szCs w:val="21"/>
                <w:lang w:eastAsia="en-US"/>
              </w:rPr>
              <w:t>2</w:t>
            </w:r>
          </w:p>
        </w:tc>
        <w:tc>
          <w:tcPr>
            <w:tcW w:w="1515" w:type="dxa"/>
            <w:noWrap w:val="0"/>
            <w:vAlign w:val="top"/>
          </w:tcPr>
          <w:p>
            <w:pPr>
              <w:pStyle w:val="25"/>
              <w:spacing w:line="360" w:lineRule="auto"/>
              <w:rPr>
                <w:sz w:val="21"/>
                <w:szCs w:val="21"/>
                <w:lang w:eastAsia="en-US"/>
              </w:rPr>
            </w:pPr>
          </w:p>
        </w:tc>
        <w:tc>
          <w:tcPr>
            <w:tcW w:w="1517" w:type="dxa"/>
            <w:noWrap w:val="0"/>
            <w:vAlign w:val="top"/>
          </w:tcPr>
          <w:p>
            <w:pPr>
              <w:pStyle w:val="25"/>
              <w:spacing w:line="360" w:lineRule="auto"/>
              <w:rPr>
                <w:sz w:val="21"/>
                <w:szCs w:val="21"/>
                <w:lang w:eastAsia="en-US"/>
              </w:rPr>
            </w:pPr>
          </w:p>
        </w:tc>
        <w:tc>
          <w:tcPr>
            <w:tcW w:w="1513" w:type="dxa"/>
            <w:noWrap w:val="0"/>
            <w:vAlign w:val="top"/>
          </w:tcPr>
          <w:p>
            <w:pPr>
              <w:pStyle w:val="25"/>
              <w:spacing w:line="360" w:lineRule="auto"/>
              <w:rPr>
                <w:sz w:val="21"/>
                <w:szCs w:val="21"/>
                <w:lang w:eastAsia="en-US"/>
              </w:rPr>
            </w:pPr>
          </w:p>
        </w:tc>
        <w:tc>
          <w:tcPr>
            <w:tcW w:w="1513" w:type="dxa"/>
            <w:noWrap w:val="0"/>
            <w:vAlign w:val="top"/>
          </w:tcPr>
          <w:p>
            <w:pPr>
              <w:pStyle w:val="25"/>
              <w:spacing w:line="360" w:lineRule="auto"/>
              <w:rPr>
                <w:sz w:val="21"/>
                <w:szCs w:val="21"/>
                <w:lang w:eastAsia="en-US"/>
              </w:rPr>
            </w:pPr>
          </w:p>
        </w:tc>
        <w:tc>
          <w:tcPr>
            <w:tcW w:w="1509"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960" w:type="dxa"/>
            <w:noWrap w:val="0"/>
            <w:vAlign w:val="top"/>
          </w:tcPr>
          <w:p>
            <w:pPr>
              <w:pStyle w:val="25"/>
              <w:spacing w:before="2" w:line="360" w:lineRule="auto"/>
              <w:ind w:left="9"/>
              <w:jc w:val="center"/>
              <w:rPr>
                <w:sz w:val="21"/>
                <w:szCs w:val="21"/>
                <w:lang w:eastAsia="en-US"/>
              </w:rPr>
            </w:pPr>
            <w:r>
              <w:rPr>
                <w:sz w:val="21"/>
                <w:szCs w:val="21"/>
                <w:lang w:eastAsia="en-US"/>
              </w:rPr>
              <w:t>3</w:t>
            </w:r>
          </w:p>
        </w:tc>
        <w:tc>
          <w:tcPr>
            <w:tcW w:w="1515" w:type="dxa"/>
            <w:noWrap w:val="0"/>
            <w:vAlign w:val="top"/>
          </w:tcPr>
          <w:p>
            <w:pPr>
              <w:pStyle w:val="25"/>
              <w:spacing w:line="360" w:lineRule="auto"/>
              <w:rPr>
                <w:sz w:val="21"/>
                <w:szCs w:val="21"/>
                <w:lang w:eastAsia="en-US"/>
              </w:rPr>
            </w:pPr>
          </w:p>
        </w:tc>
        <w:tc>
          <w:tcPr>
            <w:tcW w:w="1517" w:type="dxa"/>
            <w:noWrap w:val="0"/>
            <w:vAlign w:val="top"/>
          </w:tcPr>
          <w:p>
            <w:pPr>
              <w:pStyle w:val="25"/>
              <w:spacing w:line="360" w:lineRule="auto"/>
              <w:rPr>
                <w:sz w:val="21"/>
                <w:szCs w:val="21"/>
                <w:lang w:eastAsia="en-US"/>
              </w:rPr>
            </w:pPr>
          </w:p>
        </w:tc>
        <w:tc>
          <w:tcPr>
            <w:tcW w:w="1513" w:type="dxa"/>
            <w:noWrap w:val="0"/>
            <w:vAlign w:val="top"/>
          </w:tcPr>
          <w:p>
            <w:pPr>
              <w:pStyle w:val="25"/>
              <w:spacing w:line="360" w:lineRule="auto"/>
              <w:rPr>
                <w:sz w:val="21"/>
                <w:szCs w:val="21"/>
                <w:lang w:eastAsia="en-US"/>
              </w:rPr>
            </w:pPr>
          </w:p>
        </w:tc>
        <w:tc>
          <w:tcPr>
            <w:tcW w:w="1513" w:type="dxa"/>
            <w:noWrap w:val="0"/>
            <w:vAlign w:val="top"/>
          </w:tcPr>
          <w:p>
            <w:pPr>
              <w:pStyle w:val="25"/>
              <w:spacing w:line="360" w:lineRule="auto"/>
              <w:rPr>
                <w:sz w:val="21"/>
                <w:szCs w:val="21"/>
                <w:lang w:eastAsia="en-US"/>
              </w:rPr>
            </w:pPr>
          </w:p>
        </w:tc>
        <w:tc>
          <w:tcPr>
            <w:tcW w:w="1509"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60" w:type="dxa"/>
            <w:noWrap w:val="0"/>
            <w:vAlign w:val="top"/>
          </w:tcPr>
          <w:p>
            <w:pPr>
              <w:pStyle w:val="25"/>
              <w:spacing w:line="360" w:lineRule="auto"/>
              <w:ind w:left="219" w:right="210"/>
              <w:jc w:val="center"/>
              <w:rPr>
                <w:rFonts w:hint="eastAsia"/>
                <w:sz w:val="21"/>
                <w:szCs w:val="21"/>
              </w:rPr>
            </w:pPr>
          </w:p>
        </w:tc>
        <w:tc>
          <w:tcPr>
            <w:tcW w:w="1515" w:type="dxa"/>
            <w:noWrap w:val="0"/>
            <w:vAlign w:val="top"/>
          </w:tcPr>
          <w:p>
            <w:pPr>
              <w:pStyle w:val="25"/>
              <w:spacing w:line="360" w:lineRule="auto"/>
              <w:rPr>
                <w:sz w:val="21"/>
                <w:szCs w:val="21"/>
                <w:lang w:eastAsia="en-US"/>
              </w:rPr>
            </w:pPr>
          </w:p>
        </w:tc>
        <w:tc>
          <w:tcPr>
            <w:tcW w:w="1517" w:type="dxa"/>
            <w:noWrap w:val="0"/>
            <w:vAlign w:val="top"/>
          </w:tcPr>
          <w:p>
            <w:pPr>
              <w:pStyle w:val="25"/>
              <w:spacing w:line="360" w:lineRule="auto"/>
              <w:rPr>
                <w:sz w:val="21"/>
                <w:szCs w:val="21"/>
                <w:lang w:eastAsia="en-US"/>
              </w:rPr>
            </w:pPr>
          </w:p>
        </w:tc>
        <w:tc>
          <w:tcPr>
            <w:tcW w:w="1513" w:type="dxa"/>
            <w:noWrap w:val="0"/>
            <w:vAlign w:val="top"/>
          </w:tcPr>
          <w:p>
            <w:pPr>
              <w:pStyle w:val="25"/>
              <w:spacing w:line="360" w:lineRule="auto"/>
              <w:rPr>
                <w:sz w:val="21"/>
                <w:szCs w:val="21"/>
                <w:lang w:eastAsia="en-US"/>
              </w:rPr>
            </w:pPr>
          </w:p>
        </w:tc>
        <w:tc>
          <w:tcPr>
            <w:tcW w:w="1513" w:type="dxa"/>
            <w:noWrap w:val="0"/>
            <w:vAlign w:val="top"/>
          </w:tcPr>
          <w:p>
            <w:pPr>
              <w:pStyle w:val="25"/>
              <w:spacing w:line="360" w:lineRule="auto"/>
              <w:rPr>
                <w:sz w:val="21"/>
                <w:szCs w:val="21"/>
                <w:lang w:eastAsia="en-US"/>
              </w:rPr>
            </w:pPr>
          </w:p>
        </w:tc>
        <w:tc>
          <w:tcPr>
            <w:tcW w:w="1509" w:type="dxa"/>
            <w:noWrap w:val="0"/>
            <w:vAlign w:val="top"/>
          </w:tcPr>
          <w:p>
            <w:pPr>
              <w:pStyle w:val="25"/>
              <w:spacing w:line="360" w:lineRule="auto"/>
              <w:rPr>
                <w:sz w:val="21"/>
                <w:szCs w:val="21"/>
                <w:lang w:eastAsia="en-US"/>
              </w:rPr>
            </w:pPr>
          </w:p>
        </w:tc>
      </w:tr>
    </w:tbl>
    <w:p>
      <w:pPr>
        <w:pStyle w:val="27"/>
        <w:numPr>
          <w:ilvl w:val="1"/>
          <w:numId w:val="23"/>
        </w:numPr>
        <w:tabs>
          <w:tab w:val="left" w:pos="1142"/>
        </w:tabs>
        <w:spacing w:before="79" w:line="360" w:lineRule="auto"/>
        <w:rPr>
          <w:sz w:val="21"/>
          <w:szCs w:val="21"/>
        </w:rPr>
      </w:pPr>
      <w:r>
        <w:rPr>
          <w:w w:val="95"/>
          <w:sz w:val="21"/>
          <w:szCs w:val="21"/>
        </w:rPr>
        <w:t>价款</w:t>
      </w:r>
    </w:p>
    <w:p>
      <w:pPr>
        <w:pStyle w:val="11"/>
        <w:tabs>
          <w:tab w:val="left" w:pos="3895"/>
          <w:tab w:val="left" w:pos="7856"/>
        </w:tabs>
        <w:spacing w:before="161" w:line="360" w:lineRule="auto"/>
        <w:ind w:left="654" w:right="428"/>
        <w:rPr>
          <w:sz w:val="21"/>
          <w:szCs w:val="21"/>
        </w:rPr>
      </w:pPr>
      <w:r>
        <w:rPr>
          <w:sz w:val="21"/>
          <w:szCs w:val="21"/>
        </w:rPr>
        <w:t>本合同总价为：￥</w:t>
      </w:r>
      <w:r>
        <w:rPr>
          <w:sz w:val="21"/>
          <w:szCs w:val="21"/>
          <w:u w:val="single"/>
        </w:rPr>
        <w:t xml:space="preserve"> </w:t>
      </w:r>
      <w:r>
        <w:rPr>
          <w:sz w:val="21"/>
          <w:szCs w:val="21"/>
          <w:u w:val="single"/>
        </w:rPr>
        <w:tab/>
      </w:r>
      <w:r>
        <w:rPr>
          <w:sz w:val="21"/>
          <w:szCs w:val="21"/>
        </w:rPr>
        <w:t>元（大写：人民币</w:t>
      </w:r>
      <w:r>
        <w:rPr>
          <w:sz w:val="21"/>
          <w:szCs w:val="21"/>
          <w:u w:val="single"/>
        </w:rPr>
        <w:t xml:space="preserve"> </w:t>
      </w:r>
      <w:r>
        <w:rPr>
          <w:sz w:val="21"/>
          <w:szCs w:val="21"/>
          <w:u w:val="single"/>
        </w:rPr>
        <w:tab/>
      </w:r>
      <w:r>
        <w:rPr>
          <w:sz w:val="21"/>
          <w:szCs w:val="21"/>
        </w:rPr>
        <w:t>元</w:t>
      </w:r>
      <w:r>
        <w:rPr>
          <w:spacing w:val="-120"/>
          <w:sz w:val="21"/>
          <w:szCs w:val="21"/>
        </w:rPr>
        <w:t>）</w:t>
      </w:r>
      <w:r>
        <w:rPr>
          <w:spacing w:val="-18"/>
          <w:sz w:val="21"/>
          <w:szCs w:val="21"/>
        </w:rPr>
        <w:t>。</w:t>
      </w:r>
      <w:r>
        <w:rPr>
          <w:sz w:val="21"/>
          <w:szCs w:val="21"/>
        </w:rPr>
        <w:t>分项价格：</w:t>
      </w:r>
    </w:p>
    <w:tbl>
      <w:tblPr>
        <w:tblStyle w:val="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8"/>
        <w:gridCol w:w="4317"/>
        <w:gridCol w:w="32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958" w:type="dxa"/>
            <w:noWrap w:val="0"/>
            <w:vAlign w:val="top"/>
          </w:tcPr>
          <w:p>
            <w:pPr>
              <w:pStyle w:val="25"/>
              <w:spacing w:before="28"/>
              <w:ind w:left="217" w:right="211"/>
              <w:jc w:val="center"/>
              <w:rPr>
                <w:sz w:val="24"/>
                <w:lang w:eastAsia="en-US"/>
              </w:rPr>
            </w:pPr>
            <w:r>
              <w:rPr>
                <w:sz w:val="24"/>
                <w:lang w:eastAsia="en-US"/>
              </w:rPr>
              <w:t>序号</w:t>
            </w:r>
          </w:p>
        </w:tc>
        <w:tc>
          <w:tcPr>
            <w:tcW w:w="4317" w:type="dxa"/>
            <w:noWrap w:val="0"/>
            <w:vAlign w:val="top"/>
          </w:tcPr>
          <w:p>
            <w:pPr>
              <w:pStyle w:val="25"/>
              <w:spacing w:before="28"/>
              <w:ind w:left="1755" w:right="1551"/>
              <w:jc w:val="center"/>
              <w:rPr>
                <w:sz w:val="24"/>
                <w:lang w:eastAsia="en-US"/>
              </w:rPr>
            </w:pPr>
            <w:r>
              <w:rPr>
                <w:sz w:val="24"/>
                <w:lang w:eastAsia="en-US"/>
              </w:rPr>
              <w:t>分项名称</w:t>
            </w:r>
          </w:p>
        </w:tc>
        <w:tc>
          <w:tcPr>
            <w:tcW w:w="3239" w:type="dxa"/>
            <w:noWrap w:val="0"/>
            <w:vAlign w:val="top"/>
          </w:tcPr>
          <w:p>
            <w:pPr>
              <w:pStyle w:val="25"/>
              <w:spacing w:before="28"/>
              <w:ind w:left="1116" w:right="1113"/>
              <w:jc w:val="center"/>
              <w:rPr>
                <w:sz w:val="24"/>
                <w:lang w:eastAsia="en-US"/>
              </w:rPr>
            </w:pPr>
            <w:r>
              <w:rPr>
                <w:sz w:val="24"/>
                <w:lang w:eastAsia="en-US"/>
              </w:rPr>
              <w:t>分项价格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958" w:type="dxa"/>
            <w:noWrap w:val="0"/>
            <w:vAlign w:val="top"/>
          </w:tcPr>
          <w:p>
            <w:pPr>
              <w:pStyle w:val="25"/>
              <w:spacing w:line="307" w:lineRule="exact"/>
              <w:ind w:left="6"/>
              <w:jc w:val="center"/>
              <w:rPr>
                <w:sz w:val="24"/>
                <w:lang w:eastAsia="en-US"/>
              </w:rPr>
            </w:pPr>
            <w:r>
              <w:rPr>
                <w:sz w:val="24"/>
                <w:lang w:eastAsia="en-US"/>
              </w:rPr>
              <w:t>1</w:t>
            </w:r>
          </w:p>
        </w:tc>
        <w:tc>
          <w:tcPr>
            <w:tcW w:w="4317" w:type="dxa"/>
            <w:noWrap w:val="0"/>
            <w:vAlign w:val="top"/>
          </w:tcPr>
          <w:p>
            <w:pPr>
              <w:pStyle w:val="25"/>
              <w:rPr>
                <w:rFonts w:ascii="Times New Roman"/>
                <w:lang w:eastAsia="en-US"/>
              </w:rPr>
            </w:pPr>
          </w:p>
        </w:tc>
        <w:tc>
          <w:tcPr>
            <w:tcW w:w="3239" w:type="dxa"/>
            <w:noWrap w:val="0"/>
            <w:vAlign w:val="top"/>
          </w:tcPr>
          <w:p>
            <w:pPr>
              <w:pStyle w:val="25"/>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958" w:type="dxa"/>
            <w:noWrap w:val="0"/>
            <w:vAlign w:val="top"/>
          </w:tcPr>
          <w:p>
            <w:pPr>
              <w:pStyle w:val="25"/>
              <w:spacing w:line="307" w:lineRule="exact"/>
              <w:ind w:left="6"/>
              <w:jc w:val="center"/>
              <w:rPr>
                <w:sz w:val="24"/>
                <w:lang w:eastAsia="en-US"/>
              </w:rPr>
            </w:pPr>
            <w:r>
              <w:rPr>
                <w:sz w:val="24"/>
                <w:lang w:eastAsia="en-US"/>
              </w:rPr>
              <w:t>2</w:t>
            </w:r>
          </w:p>
        </w:tc>
        <w:tc>
          <w:tcPr>
            <w:tcW w:w="4317" w:type="dxa"/>
            <w:noWrap w:val="0"/>
            <w:vAlign w:val="top"/>
          </w:tcPr>
          <w:p>
            <w:pPr>
              <w:pStyle w:val="25"/>
              <w:rPr>
                <w:rFonts w:ascii="Times New Roman"/>
                <w:lang w:eastAsia="en-US"/>
              </w:rPr>
            </w:pPr>
          </w:p>
        </w:tc>
        <w:tc>
          <w:tcPr>
            <w:tcW w:w="3239" w:type="dxa"/>
            <w:noWrap w:val="0"/>
            <w:vAlign w:val="top"/>
          </w:tcPr>
          <w:p>
            <w:pPr>
              <w:pStyle w:val="25"/>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958" w:type="dxa"/>
            <w:noWrap w:val="0"/>
            <w:vAlign w:val="top"/>
          </w:tcPr>
          <w:p>
            <w:pPr>
              <w:pStyle w:val="25"/>
              <w:ind w:left="6"/>
              <w:jc w:val="center"/>
              <w:rPr>
                <w:sz w:val="24"/>
                <w:lang w:eastAsia="en-US"/>
              </w:rPr>
            </w:pPr>
            <w:r>
              <w:rPr>
                <w:sz w:val="24"/>
                <w:lang w:eastAsia="en-US"/>
              </w:rPr>
              <w:t>3</w:t>
            </w:r>
          </w:p>
        </w:tc>
        <w:tc>
          <w:tcPr>
            <w:tcW w:w="4317" w:type="dxa"/>
            <w:noWrap w:val="0"/>
            <w:vAlign w:val="top"/>
          </w:tcPr>
          <w:p>
            <w:pPr>
              <w:pStyle w:val="25"/>
              <w:rPr>
                <w:rFonts w:ascii="Times New Roman"/>
                <w:lang w:eastAsia="en-US"/>
              </w:rPr>
            </w:pPr>
          </w:p>
        </w:tc>
        <w:tc>
          <w:tcPr>
            <w:tcW w:w="3239" w:type="dxa"/>
            <w:noWrap w:val="0"/>
            <w:vAlign w:val="top"/>
          </w:tcPr>
          <w:p>
            <w:pPr>
              <w:pStyle w:val="25"/>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958" w:type="dxa"/>
            <w:noWrap w:val="0"/>
            <w:vAlign w:val="top"/>
          </w:tcPr>
          <w:p>
            <w:pPr>
              <w:pStyle w:val="25"/>
              <w:spacing w:line="307" w:lineRule="exact"/>
              <w:ind w:left="217" w:right="211"/>
              <w:jc w:val="center"/>
              <w:rPr>
                <w:rFonts w:hint="eastAsia"/>
                <w:sz w:val="24"/>
              </w:rPr>
            </w:pPr>
          </w:p>
        </w:tc>
        <w:tc>
          <w:tcPr>
            <w:tcW w:w="4317" w:type="dxa"/>
            <w:noWrap w:val="0"/>
            <w:vAlign w:val="top"/>
          </w:tcPr>
          <w:p>
            <w:pPr>
              <w:pStyle w:val="25"/>
              <w:rPr>
                <w:rFonts w:ascii="Times New Roman"/>
                <w:lang w:eastAsia="en-US"/>
              </w:rPr>
            </w:pPr>
          </w:p>
        </w:tc>
        <w:tc>
          <w:tcPr>
            <w:tcW w:w="3239" w:type="dxa"/>
            <w:noWrap w:val="0"/>
            <w:vAlign w:val="top"/>
          </w:tcPr>
          <w:p>
            <w:pPr>
              <w:pStyle w:val="25"/>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5275" w:type="dxa"/>
            <w:gridSpan w:val="2"/>
            <w:noWrap w:val="0"/>
            <w:vAlign w:val="top"/>
          </w:tcPr>
          <w:p>
            <w:pPr>
              <w:pStyle w:val="25"/>
              <w:spacing w:before="28"/>
              <w:ind w:left="2481" w:right="2264"/>
              <w:jc w:val="center"/>
              <w:rPr>
                <w:sz w:val="24"/>
                <w:lang w:eastAsia="en-US"/>
              </w:rPr>
            </w:pPr>
            <w:r>
              <w:rPr>
                <w:sz w:val="24"/>
                <w:lang w:eastAsia="en-US"/>
              </w:rPr>
              <w:t>总价</w:t>
            </w:r>
          </w:p>
        </w:tc>
        <w:tc>
          <w:tcPr>
            <w:tcW w:w="3239" w:type="dxa"/>
            <w:tcBorders>
              <w:right w:val="single" w:color="000000" w:sz="6" w:space="0"/>
            </w:tcBorders>
            <w:noWrap w:val="0"/>
            <w:vAlign w:val="top"/>
          </w:tcPr>
          <w:p>
            <w:pPr>
              <w:pStyle w:val="25"/>
              <w:rPr>
                <w:rFonts w:ascii="Times New Roman"/>
                <w:lang w:eastAsia="en-US"/>
              </w:rPr>
            </w:pPr>
          </w:p>
        </w:tc>
      </w:tr>
    </w:tbl>
    <w:p>
      <w:pPr>
        <w:pStyle w:val="11"/>
        <w:spacing w:before="6" w:line="360" w:lineRule="auto"/>
        <w:rPr>
          <w:sz w:val="21"/>
          <w:szCs w:val="21"/>
        </w:rPr>
      </w:pPr>
    </w:p>
    <w:p>
      <w:pPr>
        <w:pStyle w:val="27"/>
        <w:numPr>
          <w:ilvl w:val="1"/>
          <w:numId w:val="23"/>
        </w:numPr>
        <w:tabs>
          <w:tab w:val="left" w:pos="1142"/>
        </w:tabs>
        <w:spacing w:before="0" w:line="360" w:lineRule="auto"/>
        <w:rPr>
          <w:sz w:val="21"/>
          <w:szCs w:val="21"/>
        </w:rPr>
      </w:pPr>
      <w:r>
        <w:rPr>
          <w:sz w:val="21"/>
          <w:szCs w:val="21"/>
        </w:rPr>
        <w:t>付款方式和发票开具方式</w:t>
      </w:r>
    </w:p>
    <w:p>
      <w:pPr>
        <w:pStyle w:val="26"/>
        <w:numPr>
          <w:ilvl w:val="2"/>
          <w:numId w:val="23"/>
        </w:numPr>
        <w:tabs>
          <w:tab w:val="left" w:pos="1315"/>
          <w:tab w:val="left" w:pos="8276"/>
        </w:tabs>
        <w:autoSpaceDE w:val="0"/>
        <w:autoSpaceDN w:val="0"/>
        <w:spacing w:before="161" w:line="360" w:lineRule="auto"/>
        <w:ind w:hanging="661" w:firstLineChars="0"/>
        <w:rPr>
          <w:rFonts w:ascii="宋体" w:hAnsi="宋体"/>
          <w:szCs w:val="21"/>
        </w:rPr>
      </w:pPr>
      <w:r>
        <w:rPr>
          <w:rFonts w:ascii="宋体" w:hAnsi="宋体"/>
          <w:szCs w:val="21"/>
        </w:rPr>
        <w:t>付款方式：</w:t>
      </w:r>
      <w:r>
        <w:rPr>
          <w:rFonts w:ascii="宋体" w:hAnsi="宋体"/>
          <w:szCs w:val="21"/>
          <w:u w:val="single"/>
        </w:rPr>
        <w:t xml:space="preserve"> </w:t>
      </w:r>
      <w:r>
        <w:rPr>
          <w:rFonts w:ascii="宋体" w:hAnsi="宋体"/>
          <w:szCs w:val="21"/>
          <w:u w:val="single"/>
        </w:rPr>
        <w:tab/>
      </w:r>
      <w:r>
        <w:rPr>
          <w:rFonts w:ascii="宋体" w:hAnsi="宋体"/>
          <w:szCs w:val="21"/>
        </w:rPr>
        <w:t>；</w:t>
      </w:r>
    </w:p>
    <w:p>
      <w:pPr>
        <w:pStyle w:val="26"/>
        <w:numPr>
          <w:ilvl w:val="2"/>
          <w:numId w:val="23"/>
        </w:numPr>
        <w:tabs>
          <w:tab w:val="left" w:pos="1315"/>
          <w:tab w:val="left" w:pos="8276"/>
        </w:tabs>
        <w:autoSpaceDE w:val="0"/>
        <w:autoSpaceDN w:val="0"/>
        <w:spacing w:before="132" w:line="360" w:lineRule="auto"/>
        <w:ind w:hanging="661" w:firstLineChars="0"/>
        <w:rPr>
          <w:rFonts w:ascii="宋体" w:hAnsi="宋体"/>
          <w:szCs w:val="21"/>
        </w:rPr>
      </w:pPr>
      <w:r>
        <w:rPr>
          <w:rFonts w:ascii="宋体" w:hAnsi="宋体"/>
          <w:szCs w:val="21"/>
        </w:rPr>
        <w:t>发票开具方式：</w:t>
      </w:r>
      <w:r>
        <w:rPr>
          <w:rFonts w:ascii="宋体" w:hAnsi="宋体"/>
          <w:szCs w:val="21"/>
          <w:u w:val="single"/>
        </w:rPr>
        <w:t xml:space="preserve"> </w:t>
      </w:r>
      <w:r>
        <w:rPr>
          <w:rFonts w:ascii="宋体" w:hAnsi="宋体"/>
          <w:szCs w:val="21"/>
          <w:u w:val="single"/>
        </w:rPr>
        <w:tab/>
      </w:r>
      <w:r>
        <w:rPr>
          <w:rFonts w:ascii="宋体" w:hAnsi="宋体"/>
          <w:szCs w:val="21"/>
        </w:rPr>
        <w:t>。</w:t>
      </w:r>
    </w:p>
    <w:p>
      <w:pPr>
        <w:pStyle w:val="27"/>
        <w:numPr>
          <w:ilvl w:val="1"/>
          <w:numId w:val="23"/>
        </w:numPr>
        <w:tabs>
          <w:tab w:val="left" w:pos="1142"/>
        </w:tabs>
        <w:spacing w:before="160" w:line="360" w:lineRule="auto"/>
        <w:jc w:val="both"/>
        <w:rPr>
          <w:sz w:val="21"/>
          <w:szCs w:val="21"/>
        </w:rPr>
      </w:pPr>
      <w:r>
        <w:rPr>
          <w:sz w:val="21"/>
          <w:szCs w:val="21"/>
        </w:rPr>
        <w:t>货物交付期限、地点和方式</w:t>
      </w:r>
    </w:p>
    <w:p>
      <w:pPr>
        <w:pStyle w:val="26"/>
        <w:numPr>
          <w:ilvl w:val="2"/>
          <w:numId w:val="23"/>
        </w:numPr>
        <w:tabs>
          <w:tab w:val="left" w:pos="1315"/>
          <w:tab w:val="left" w:pos="8276"/>
        </w:tabs>
        <w:autoSpaceDE w:val="0"/>
        <w:autoSpaceDN w:val="0"/>
        <w:spacing w:before="161" w:line="360" w:lineRule="auto"/>
        <w:ind w:hanging="661" w:firstLineChars="0"/>
        <w:rPr>
          <w:rFonts w:ascii="宋体" w:hAnsi="宋体"/>
          <w:szCs w:val="21"/>
        </w:rPr>
      </w:pPr>
      <w:r>
        <w:rPr>
          <w:rFonts w:ascii="宋体" w:hAnsi="宋体"/>
          <w:szCs w:val="21"/>
        </w:rPr>
        <w:t>交付期限：</w:t>
      </w:r>
      <w:r>
        <w:rPr>
          <w:rFonts w:ascii="宋体" w:hAnsi="宋体"/>
          <w:szCs w:val="21"/>
          <w:u w:val="single"/>
        </w:rPr>
        <w:t xml:space="preserve"> </w:t>
      </w:r>
      <w:r>
        <w:rPr>
          <w:rFonts w:ascii="宋体" w:hAnsi="宋体"/>
          <w:szCs w:val="21"/>
          <w:u w:val="single"/>
        </w:rPr>
        <w:tab/>
      </w:r>
      <w:r>
        <w:rPr>
          <w:rFonts w:ascii="宋体" w:hAnsi="宋体"/>
          <w:szCs w:val="21"/>
        </w:rPr>
        <w:t>；</w:t>
      </w:r>
    </w:p>
    <w:p>
      <w:pPr>
        <w:pStyle w:val="26"/>
        <w:numPr>
          <w:ilvl w:val="2"/>
          <w:numId w:val="23"/>
        </w:numPr>
        <w:tabs>
          <w:tab w:val="left" w:pos="1315"/>
          <w:tab w:val="left" w:pos="8276"/>
        </w:tabs>
        <w:autoSpaceDE w:val="0"/>
        <w:autoSpaceDN w:val="0"/>
        <w:spacing w:before="160" w:line="360" w:lineRule="auto"/>
        <w:ind w:hanging="661" w:firstLineChars="0"/>
        <w:rPr>
          <w:rFonts w:ascii="宋体" w:hAnsi="宋体"/>
          <w:szCs w:val="21"/>
        </w:rPr>
      </w:pPr>
      <w:r>
        <w:rPr>
          <w:rFonts w:ascii="宋体" w:hAnsi="宋体"/>
          <w:szCs w:val="21"/>
        </w:rPr>
        <w:t>交付地点：</w:t>
      </w:r>
      <w:r>
        <w:rPr>
          <w:rFonts w:ascii="宋体" w:hAnsi="宋体"/>
          <w:szCs w:val="21"/>
          <w:u w:val="single"/>
        </w:rPr>
        <w:t xml:space="preserve"> </w:t>
      </w:r>
      <w:r>
        <w:rPr>
          <w:rFonts w:ascii="宋体" w:hAnsi="宋体"/>
          <w:szCs w:val="21"/>
          <w:u w:val="single"/>
        </w:rPr>
        <w:tab/>
      </w:r>
      <w:r>
        <w:rPr>
          <w:rFonts w:ascii="宋体" w:hAnsi="宋体"/>
          <w:szCs w:val="21"/>
        </w:rPr>
        <w:t>；</w:t>
      </w:r>
    </w:p>
    <w:p>
      <w:pPr>
        <w:pStyle w:val="26"/>
        <w:numPr>
          <w:ilvl w:val="2"/>
          <w:numId w:val="23"/>
        </w:numPr>
        <w:tabs>
          <w:tab w:val="left" w:pos="1315"/>
          <w:tab w:val="left" w:pos="8276"/>
        </w:tabs>
        <w:autoSpaceDE w:val="0"/>
        <w:autoSpaceDN w:val="0"/>
        <w:spacing w:before="161" w:line="360" w:lineRule="auto"/>
        <w:ind w:hanging="661" w:firstLineChars="0"/>
        <w:rPr>
          <w:rFonts w:ascii="宋体" w:hAnsi="宋体"/>
          <w:szCs w:val="21"/>
        </w:rPr>
      </w:pPr>
      <w:r>
        <w:rPr>
          <w:rFonts w:ascii="宋体" w:hAnsi="宋体"/>
          <w:szCs w:val="21"/>
        </w:rPr>
        <w:t>交付方式：</w:t>
      </w:r>
      <w:r>
        <w:rPr>
          <w:rFonts w:ascii="宋体" w:hAnsi="宋体"/>
          <w:szCs w:val="21"/>
          <w:u w:val="single"/>
        </w:rPr>
        <w:t xml:space="preserve"> </w:t>
      </w:r>
      <w:r>
        <w:rPr>
          <w:rFonts w:ascii="宋体" w:hAnsi="宋体"/>
          <w:szCs w:val="21"/>
          <w:u w:val="single"/>
        </w:rPr>
        <w:tab/>
      </w:r>
      <w:r>
        <w:rPr>
          <w:rFonts w:ascii="宋体" w:hAnsi="宋体"/>
          <w:szCs w:val="21"/>
        </w:rPr>
        <w:t>。</w:t>
      </w:r>
    </w:p>
    <w:p>
      <w:pPr>
        <w:pStyle w:val="27"/>
        <w:numPr>
          <w:ilvl w:val="1"/>
          <w:numId w:val="23"/>
        </w:numPr>
        <w:tabs>
          <w:tab w:val="left" w:pos="1142"/>
        </w:tabs>
        <w:spacing w:before="160" w:line="360" w:lineRule="auto"/>
        <w:jc w:val="both"/>
        <w:rPr>
          <w:sz w:val="21"/>
          <w:szCs w:val="21"/>
        </w:rPr>
      </w:pPr>
      <w:r>
        <w:rPr>
          <w:sz w:val="21"/>
          <w:szCs w:val="21"/>
        </w:rPr>
        <w:t>违约责任</w:t>
      </w:r>
    </w:p>
    <w:p>
      <w:pPr>
        <w:pStyle w:val="26"/>
        <w:numPr>
          <w:ilvl w:val="2"/>
          <w:numId w:val="23"/>
        </w:numPr>
        <w:tabs>
          <w:tab w:val="left" w:pos="1327"/>
        </w:tabs>
        <w:autoSpaceDE w:val="0"/>
        <w:autoSpaceDN w:val="0"/>
        <w:spacing w:before="161" w:line="360" w:lineRule="auto"/>
        <w:ind w:left="220" w:right="356" w:firstLine="434" w:firstLineChars="0"/>
        <w:rPr>
          <w:rFonts w:ascii="宋体" w:hAnsi="宋体"/>
          <w:szCs w:val="21"/>
        </w:rPr>
      </w:pPr>
      <w:r>
        <w:rPr>
          <w:rFonts w:ascii="宋体" w:hAnsi="宋体"/>
          <w:spacing w:val="-1"/>
          <w:szCs w:val="21"/>
        </w:rPr>
        <w:t>除不可抗力外，如果乙方没有按照本合同约定的期限、地点和方式交</w:t>
      </w:r>
      <w:r>
        <w:rPr>
          <w:rFonts w:ascii="宋体" w:hAnsi="宋体"/>
          <w:spacing w:val="-11"/>
          <w:szCs w:val="21"/>
        </w:rPr>
        <w:t>付货物，那么甲方可要求乙方支付违约金，违约金按每迟延交付货物一日的应交</w:t>
      </w:r>
      <w:r>
        <w:rPr>
          <w:rFonts w:ascii="宋体" w:hAnsi="宋体"/>
          <w:szCs w:val="21"/>
        </w:rPr>
        <w:t>付而未交付货物价格的</w:t>
      </w:r>
      <w:r>
        <w:rPr>
          <w:rFonts w:ascii="宋体" w:hAnsi="宋体"/>
          <w:spacing w:val="3"/>
          <w:szCs w:val="21"/>
          <w:u w:val="single"/>
        </w:rPr>
        <w:t xml:space="preserve">  </w:t>
      </w:r>
      <w:r>
        <w:rPr>
          <w:rFonts w:ascii="宋体" w:hAnsi="宋体"/>
          <w:spacing w:val="4"/>
          <w:szCs w:val="21"/>
        </w:rPr>
        <w:t xml:space="preserve"> %计算，最高限额为本合同总价的</w:t>
      </w:r>
      <w:r>
        <w:rPr>
          <w:rFonts w:ascii="宋体" w:hAnsi="宋体"/>
          <w:szCs w:val="21"/>
          <w:u w:val="single"/>
        </w:rPr>
        <w:t xml:space="preserve">   </w:t>
      </w:r>
      <w:r>
        <w:rPr>
          <w:rFonts w:ascii="宋体" w:hAnsi="宋体"/>
          <w:spacing w:val="-1"/>
          <w:szCs w:val="21"/>
        </w:rPr>
        <w:t xml:space="preserve"> %；迟延交付</w:t>
      </w:r>
      <w:r>
        <w:rPr>
          <w:rFonts w:ascii="宋体" w:hAnsi="宋体"/>
          <w:spacing w:val="-6"/>
          <w:szCs w:val="21"/>
        </w:rPr>
        <w:t>货物的违约金计算数额达到前述最高限额之日起，甲方有权在要求乙方支付违约</w:t>
      </w:r>
      <w:r>
        <w:rPr>
          <w:rFonts w:ascii="宋体" w:hAnsi="宋体"/>
          <w:szCs w:val="21"/>
        </w:rPr>
        <w:t>金的同时，书面通知乙方解除本合同；</w:t>
      </w:r>
    </w:p>
    <w:p>
      <w:pPr>
        <w:pStyle w:val="26"/>
        <w:numPr>
          <w:ilvl w:val="2"/>
          <w:numId w:val="23"/>
        </w:numPr>
        <w:tabs>
          <w:tab w:val="left" w:pos="1327"/>
        </w:tabs>
        <w:autoSpaceDE w:val="0"/>
        <w:autoSpaceDN w:val="0"/>
        <w:spacing w:before="3" w:line="360" w:lineRule="auto"/>
        <w:ind w:left="220" w:right="357" w:firstLine="434" w:firstLineChars="0"/>
        <w:rPr>
          <w:rFonts w:ascii="宋体" w:hAnsi="宋体"/>
          <w:szCs w:val="21"/>
        </w:rPr>
      </w:pPr>
      <w:r>
        <w:rPr>
          <w:rFonts w:ascii="宋体" w:hAnsi="宋体"/>
          <w:spacing w:val="-1"/>
          <w:szCs w:val="21"/>
        </w:rPr>
        <w:t>除不可抗力外，如果甲方没有按照本合同约定的付款方式付款，那么</w:t>
      </w:r>
      <w:r>
        <w:rPr>
          <w:rFonts w:ascii="宋体" w:hAnsi="宋体"/>
          <w:szCs w:val="21"/>
        </w:rPr>
        <w:t>乙方可要求甲方支付违约金，违约金按每迟延付款一日的应付而未付款的</w:t>
      </w:r>
      <w:r>
        <w:rPr>
          <w:rFonts w:ascii="宋体" w:hAnsi="宋体"/>
          <w:szCs w:val="21"/>
          <w:u w:val="single"/>
        </w:rPr>
        <w:t xml:space="preserve"> </w:t>
      </w:r>
      <w:r>
        <w:rPr>
          <w:rFonts w:ascii="宋体" w:hAnsi="宋体"/>
          <w:spacing w:val="2"/>
          <w:szCs w:val="21"/>
        </w:rPr>
        <w:t xml:space="preserve"> % </w:t>
      </w:r>
      <w:r>
        <w:rPr>
          <w:rFonts w:ascii="宋体" w:hAnsi="宋体"/>
          <w:spacing w:val="-7"/>
          <w:szCs w:val="21"/>
        </w:rPr>
        <w:t>计算，最高限额为本合同总价的</w:t>
      </w:r>
      <w:r>
        <w:rPr>
          <w:rFonts w:ascii="宋体" w:hAnsi="宋体"/>
          <w:szCs w:val="21"/>
          <w:u w:val="single"/>
        </w:rPr>
        <w:t xml:space="preserve">  </w:t>
      </w:r>
      <w:r>
        <w:rPr>
          <w:rFonts w:ascii="宋体" w:hAnsi="宋体"/>
          <w:spacing w:val="-1"/>
          <w:szCs w:val="21"/>
        </w:rPr>
        <w:t xml:space="preserve"> %；迟延付款的违约金计算数额达到前述最</w:t>
      </w:r>
      <w:r>
        <w:rPr>
          <w:rFonts w:ascii="宋体" w:hAnsi="宋体"/>
          <w:spacing w:val="-10"/>
          <w:szCs w:val="21"/>
        </w:rPr>
        <w:t>高限额之日起，乙方有权在要求甲方支付违约金的同时，书面通知甲方解除本合</w:t>
      </w:r>
      <w:r>
        <w:rPr>
          <w:rFonts w:ascii="宋体" w:hAnsi="宋体"/>
          <w:szCs w:val="21"/>
        </w:rPr>
        <w:t>同；</w:t>
      </w:r>
    </w:p>
    <w:p>
      <w:pPr>
        <w:pStyle w:val="26"/>
        <w:numPr>
          <w:ilvl w:val="2"/>
          <w:numId w:val="23"/>
        </w:numPr>
        <w:tabs>
          <w:tab w:val="left" w:pos="1327"/>
        </w:tabs>
        <w:autoSpaceDE w:val="0"/>
        <w:autoSpaceDN w:val="0"/>
        <w:spacing w:before="4" w:line="360" w:lineRule="auto"/>
        <w:ind w:left="220" w:right="117" w:firstLine="434" w:firstLineChars="0"/>
        <w:rPr>
          <w:rFonts w:ascii="宋体" w:hAnsi="宋体"/>
          <w:szCs w:val="21"/>
        </w:rPr>
      </w:pPr>
      <w:r>
        <w:rPr>
          <w:rFonts w:ascii="宋体" w:hAnsi="宋体"/>
          <w:szCs w:val="21"/>
        </w:rPr>
        <w:t xml:space="preserve">除不可抗力外，任何一方未能履行本合同约定的其他主要义务，经催 </w:t>
      </w:r>
      <w:r>
        <w:rPr>
          <w:rFonts w:ascii="宋体" w:hAnsi="宋体"/>
          <w:spacing w:val="-7"/>
          <w:szCs w:val="21"/>
        </w:rPr>
        <w:t xml:space="preserve">告后在合理期限内仍未履行的，或者任何一方有其他违约行为致使不能实现合同 </w:t>
      </w:r>
      <w:r>
        <w:rPr>
          <w:rFonts w:ascii="宋体" w:hAnsi="宋体"/>
          <w:spacing w:val="-10"/>
          <w:szCs w:val="21"/>
        </w:rPr>
        <w:t>目的的，或者任何一方有腐败行为</w:t>
      </w:r>
      <w:r>
        <w:rPr>
          <w:rFonts w:ascii="宋体" w:hAnsi="宋体"/>
          <w:szCs w:val="21"/>
        </w:rPr>
        <w:t>（</w:t>
      </w:r>
      <w:r>
        <w:rPr>
          <w:rFonts w:ascii="宋体" w:hAnsi="宋体"/>
          <w:spacing w:val="-6"/>
          <w:szCs w:val="21"/>
        </w:rPr>
        <w:t xml:space="preserve">即：提供或给予或接受或索取任何财物或其 </w:t>
      </w:r>
      <w:r>
        <w:rPr>
          <w:rFonts w:ascii="宋体" w:hAnsi="宋体"/>
          <w:spacing w:val="-10"/>
          <w:szCs w:val="21"/>
        </w:rPr>
        <w:t>他好处或者采取其他不正当手段影响对方当事人在合同签订、履行过程中的行为</w:t>
      </w:r>
      <w:r>
        <w:rPr>
          <w:rFonts w:ascii="宋体" w:hAnsi="宋体"/>
          <w:spacing w:val="-16"/>
          <w:szCs w:val="21"/>
        </w:rPr>
        <w:t xml:space="preserve">） </w:t>
      </w:r>
      <w:r>
        <w:rPr>
          <w:rFonts w:ascii="宋体" w:hAnsi="宋体"/>
          <w:spacing w:val="-8"/>
          <w:szCs w:val="21"/>
        </w:rPr>
        <w:t>或者欺诈行为</w:t>
      </w:r>
      <w:r>
        <w:rPr>
          <w:rFonts w:ascii="宋体" w:hAnsi="宋体"/>
          <w:szCs w:val="21"/>
        </w:rPr>
        <w:t>（</w:t>
      </w:r>
      <w:r>
        <w:rPr>
          <w:rFonts w:ascii="宋体" w:hAnsi="宋体"/>
          <w:spacing w:val="-7"/>
          <w:szCs w:val="21"/>
        </w:rPr>
        <w:t>即：以谎报事实或者隐瞒真相的方法来影响对方当事人在合同签 订、履行过程中的行为）的，对方当事人可以书面通知违约方解除本合同；</w:t>
      </w:r>
    </w:p>
    <w:p>
      <w:pPr>
        <w:pStyle w:val="26"/>
        <w:numPr>
          <w:ilvl w:val="2"/>
          <w:numId w:val="23"/>
        </w:numPr>
        <w:tabs>
          <w:tab w:val="left" w:pos="1327"/>
        </w:tabs>
        <w:autoSpaceDE w:val="0"/>
        <w:autoSpaceDN w:val="0"/>
        <w:spacing w:before="4" w:line="360" w:lineRule="auto"/>
        <w:ind w:left="220" w:right="357" w:firstLine="434" w:firstLineChars="0"/>
        <w:rPr>
          <w:rFonts w:ascii="宋体" w:hAnsi="宋体"/>
          <w:szCs w:val="21"/>
        </w:rPr>
      </w:pPr>
      <w:r>
        <w:rPr>
          <w:rFonts w:ascii="宋体" w:hAnsi="宋体"/>
          <w:spacing w:val="-1"/>
          <w:szCs w:val="21"/>
        </w:rPr>
        <w:t>任何一方按照前述约定要求违约方支付违约金的同时，仍有权要求违</w:t>
      </w:r>
      <w:r>
        <w:rPr>
          <w:rFonts w:ascii="宋体" w:hAnsi="宋体"/>
          <w:spacing w:val="-10"/>
          <w:szCs w:val="21"/>
        </w:rPr>
        <w:t>约方继续履行合同、采取补救措施，并有权按照己方实际损失情况要求违约方赔偿损失；任何一方按照前述约定要求解除本合同的同时，仍有权要求违约方支付</w:t>
      </w:r>
      <w:r>
        <w:rPr>
          <w:rFonts w:ascii="宋体" w:hAnsi="宋体"/>
          <w:spacing w:val="-5"/>
          <w:szCs w:val="21"/>
        </w:rPr>
        <w:t>违约金和按照己方实际损失情况要求违约方赔偿损失；且守约方行使的任何权利</w:t>
      </w:r>
      <w:r>
        <w:rPr>
          <w:rFonts w:ascii="宋体" w:hAnsi="宋体"/>
          <w:szCs w:val="21"/>
        </w:rPr>
        <w:t>救济方式均不视为其放弃了其他法定或者约定的权利救济方式；</w:t>
      </w:r>
    </w:p>
    <w:p>
      <w:pPr>
        <w:pStyle w:val="26"/>
        <w:numPr>
          <w:ilvl w:val="2"/>
          <w:numId w:val="23"/>
        </w:numPr>
        <w:tabs>
          <w:tab w:val="left" w:pos="1315"/>
        </w:tabs>
        <w:autoSpaceDE w:val="0"/>
        <w:autoSpaceDN w:val="0"/>
        <w:spacing w:before="3" w:line="360" w:lineRule="auto"/>
        <w:ind w:left="220" w:right="359" w:firstLine="434" w:firstLineChars="0"/>
        <w:rPr>
          <w:rFonts w:ascii="宋体" w:hAnsi="宋体"/>
          <w:szCs w:val="21"/>
        </w:rPr>
      </w:pPr>
      <w:r>
        <w:rPr>
          <w:rFonts w:ascii="宋体" w:hAnsi="宋体"/>
          <w:spacing w:val="-16"/>
          <w:szCs w:val="21"/>
        </w:rPr>
        <w:t xml:space="preserve">除前述约定外，除不可抗力外，任何一方未能履行本合同约定的义务， </w:t>
      </w:r>
      <w:r>
        <w:rPr>
          <w:rFonts w:ascii="宋体" w:hAnsi="宋体"/>
          <w:spacing w:val="-7"/>
          <w:szCs w:val="21"/>
        </w:rPr>
        <w:t>对方当事人均有权要求继续履行、采取补救措施或者赔偿损失等，且对方当事人</w:t>
      </w:r>
    </w:p>
    <w:p>
      <w:pPr>
        <w:spacing w:line="360" w:lineRule="auto"/>
        <w:rPr>
          <w:rFonts w:ascii="宋体" w:hAnsi="宋体"/>
        </w:rPr>
        <w:sectPr>
          <w:pgSz w:w="11910" w:h="16840"/>
          <w:pgMar w:top="1380" w:right="1440" w:bottom="1500" w:left="1580" w:header="877" w:footer="1304" w:gutter="0"/>
          <w:pgNumType w:fmt="decimal"/>
          <w:cols w:space="720" w:num="1"/>
        </w:sectPr>
      </w:pPr>
    </w:p>
    <w:p>
      <w:pPr>
        <w:pStyle w:val="11"/>
        <w:spacing w:before="132" w:line="360" w:lineRule="auto"/>
        <w:rPr>
          <w:sz w:val="21"/>
          <w:szCs w:val="21"/>
        </w:rPr>
      </w:pPr>
      <w:r>
        <w:rPr>
          <w:sz w:val="21"/>
          <w:szCs w:val="21"/>
        </w:rPr>
        <w:t>行使的任何权利救济方式均不视为其放弃了其他法定或者约定的权利救济方式；</w:t>
      </w:r>
    </w:p>
    <w:p>
      <w:pPr>
        <w:pStyle w:val="26"/>
        <w:numPr>
          <w:ilvl w:val="2"/>
          <w:numId w:val="23"/>
        </w:numPr>
        <w:tabs>
          <w:tab w:val="left" w:pos="1327"/>
        </w:tabs>
        <w:autoSpaceDE w:val="0"/>
        <w:autoSpaceDN w:val="0"/>
        <w:spacing w:before="160" w:line="360" w:lineRule="auto"/>
        <w:ind w:left="220" w:right="357" w:firstLine="434" w:firstLineChars="0"/>
        <w:rPr>
          <w:rFonts w:ascii="宋体" w:hAnsi="宋体"/>
          <w:szCs w:val="21"/>
        </w:rPr>
      </w:pPr>
      <w:r>
        <w:rPr>
          <w:rFonts w:ascii="宋体" w:hAnsi="宋体"/>
          <w:spacing w:val="-1"/>
          <w:szCs w:val="21"/>
        </w:rPr>
        <w:t>如果出现政府采购监督管理部门在处理投诉事项期间，书面通知甲方</w:t>
      </w:r>
      <w:r>
        <w:rPr>
          <w:rFonts w:ascii="宋体" w:hAnsi="宋体"/>
          <w:spacing w:val="-8"/>
          <w:szCs w:val="21"/>
        </w:rPr>
        <w:t>暂停采购活动的情形，或者询问或质疑事项可能影响中标结果的，导致甲方中止</w:t>
      </w:r>
      <w:r>
        <w:rPr>
          <w:rFonts w:ascii="宋体" w:hAnsi="宋体"/>
          <w:szCs w:val="21"/>
        </w:rPr>
        <w:t>履行合同的情形，均不视为甲方违约。</w:t>
      </w:r>
    </w:p>
    <w:p>
      <w:pPr>
        <w:pStyle w:val="27"/>
        <w:numPr>
          <w:ilvl w:val="1"/>
          <w:numId w:val="23"/>
        </w:numPr>
        <w:tabs>
          <w:tab w:val="left" w:pos="1142"/>
        </w:tabs>
        <w:spacing w:before="2" w:line="360" w:lineRule="auto"/>
        <w:jc w:val="both"/>
        <w:rPr>
          <w:sz w:val="21"/>
          <w:szCs w:val="21"/>
        </w:rPr>
      </w:pPr>
      <w:r>
        <w:rPr>
          <w:sz w:val="21"/>
          <w:szCs w:val="21"/>
        </w:rPr>
        <w:t>合同争议的解决</w:t>
      </w:r>
    </w:p>
    <w:p>
      <w:pPr>
        <w:pStyle w:val="11"/>
        <w:tabs>
          <w:tab w:val="left" w:pos="6701"/>
        </w:tabs>
        <w:spacing w:before="161" w:line="360" w:lineRule="auto"/>
        <w:ind w:right="116" w:firstLine="434"/>
        <w:rPr>
          <w:sz w:val="21"/>
          <w:szCs w:val="21"/>
        </w:rPr>
      </w:pPr>
      <w:r>
        <w:rPr>
          <w:sz w:val="21"/>
          <w:szCs w:val="21"/>
        </w:rPr>
        <w:t>本合同履行过程中发生的任何争议</w:t>
      </w:r>
      <w:r>
        <w:rPr>
          <w:spacing w:val="-48"/>
          <w:sz w:val="21"/>
          <w:szCs w:val="21"/>
        </w:rPr>
        <w:t>，</w:t>
      </w:r>
      <w:r>
        <w:rPr>
          <w:sz w:val="21"/>
          <w:szCs w:val="21"/>
        </w:rPr>
        <w:t>双方当事人均可通过和解或者调解解决</w:t>
      </w:r>
      <w:r>
        <w:rPr>
          <w:spacing w:val="-17"/>
          <w:sz w:val="21"/>
          <w:szCs w:val="21"/>
        </w:rPr>
        <w:t xml:space="preserve">； </w:t>
      </w:r>
      <w:r>
        <w:rPr>
          <w:sz w:val="21"/>
          <w:szCs w:val="21"/>
        </w:rPr>
        <w:t>不愿和解、调解或者和解、调解不成的，可以选择下列第</w:t>
      </w:r>
      <w:r>
        <w:rPr>
          <w:sz w:val="21"/>
          <w:szCs w:val="21"/>
          <w:u w:val="single"/>
        </w:rPr>
        <w:t xml:space="preserve"> </w:t>
      </w:r>
      <w:r>
        <w:rPr>
          <w:sz w:val="21"/>
          <w:szCs w:val="21"/>
          <w:u w:val="single"/>
        </w:rPr>
        <w:tab/>
      </w:r>
      <w:r>
        <w:rPr>
          <w:sz w:val="21"/>
          <w:szCs w:val="21"/>
        </w:rPr>
        <w:t>种方式解决：</w:t>
      </w:r>
    </w:p>
    <w:p>
      <w:pPr>
        <w:pStyle w:val="26"/>
        <w:numPr>
          <w:ilvl w:val="2"/>
          <w:numId w:val="23"/>
        </w:numPr>
        <w:tabs>
          <w:tab w:val="left" w:pos="1327"/>
          <w:tab w:val="left" w:pos="4207"/>
        </w:tabs>
        <w:autoSpaceDE w:val="0"/>
        <w:autoSpaceDN w:val="0"/>
        <w:spacing w:before="1" w:line="360" w:lineRule="auto"/>
        <w:ind w:left="220" w:right="358" w:firstLine="434" w:firstLineChars="0"/>
        <w:rPr>
          <w:rFonts w:ascii="宋体" w:hAnsi="宋体"/>
          <w:szCs w:val="21"/>
        </w:rPr>
      </w:pPr>
      <w:r>
        <w:rPr>
          <w:rFonts w:ascii="宋体" w:hAnsi="宋体"/>
          <w:szCs w:val="21"/>
        </w:rPr>
        <w:t>将争议提交</w:t>
      </w:r>
      <w:r>
        <w:rPr>
          <w:rFonts w:ascii="宋体" w:hAnsi="宋体"/>
          <w:szCs w:val="21"/>
          <w:u w:val="single"/>
        </w:rPr>
        <w:t xml:space="preserve"> </w:t>
      </w:r>
      <w:r>
        <w:rPr>
          <w:rFonts w:ascii="宋体" w:hAnsi="宋体"/>
          <w:szCs w:val="21"/>
          <w:u w:val="single"/>
        </w:rPr>
        <w:tab/>
      </w:r>
      <w:r>
        <w:rPr>
          <w:rFonts w:ascii="宋体" w:hAnsi="宋体"/>
          <w:szCs w:val="21"/>
        </w:rPr>
        <w:t>仲裁委员会依申请仲裁时其现行有效的</w:t>
      </w:r>
      <w:r>
        <w:rPr>
          <w:rFonts w:ascii="宋体" w:hAnsi="宋体"/>
          <w:spacing w:val="-19"/>
          <w:szCs w:val="21"/>
        </w:rPr>
        <w:t>仲</w:t>
      </w:r>
      <w:r>
        <w:rPr>
          <w:rFonts w:ascii="宋体" w:hAnsi="宋体"/>
          <w:szCs w:val="21"/>
        </w:rPr>
        <w:t>裁规则裁决；</w:t>
      </w:r>
    </w:p>
    <w:p>
      <w:pPr>
        <w:pStyle w:val="26"/>
        <w:numPr>
          <w:ilvl w:val="2"/>
          <w:numId w:val="23"/>
        </w:numPr>
        <w:tabs>
          <w:tab w:val="left" w:pos="1315"/>
          <w:tab w:val="left" w:pos="4435"/>
        </w:tabs>
        <w:autoSpaceDE w:val="0"/>
        <w:autoSpaceDN w:val="0"/>
        <w:spacing w:before="2" w:line="360" w:lineRule="auto"/>
        <w:ind w:hanging="661" w:firstLineChars="0"/>
        <w:rPr>
          <w:rFonts w:ascii="宋体" w:hAnsi="宋体"/>
          <w:szCs w:val="21"/>
        </w:rPr>
      </w:pPr>
      <w:r>
        <w:rPr>
          <w:rFonts w:ascii="宋体" w:hAnsi="宋体"/>
          <w:szCs w:val="21"/>
        </w:rPr>
        <w:t>向</w:t>
      </w:r>
      <w:r>
        <w:rPr>
          <w:rFonts w:ascii="宋体" w:hAnsi="宋体"/>
          <w:szCs w:val="21"/>
          <w:u w:val="single"/>
        </w:rPr>
        <w:t xml:space="preserve"> </w:t>
      </w:r>
      <w:r>
        <w:rPr>
          <w:rFonts w:ascii="宋体" w:hAnsi="宋体"/>
          <w:szCs w:val="21"/>
          <w:u w:val="single"/>
        </w:rPr>
        <w:tab/>
      </w:r>
      <w:r>
        <w:rPr>
          <w:rFonts w:ascii="宋体" w:hAnsi="宋体"/>
          <w:szCs w:val="21"/>
        </w:rPr>
        <w:t>人民法院起诉。</w:t>
      </w:r>
    </w:p>
    <w:p>
      <w:pPr>
        <w:pStyle w:val="27"/>
        <w:numPr>
          <w:ilvl w:val="1"/>
          <w:numId w:val="23"/>
        </w:numPr>
        <w:tabs>
          <w:tab w:val="left" w:pos="1142"/>
        </w:tabs>
        <w:spacing w:before="160" w:line="360" w:lineRule="auto"/>
        <w:rPr>
          <w:sz w:val="21"/>
          <w:szCs w:val="21"/>
        </w:rPr>
      </w:pPr>
      <w:r>
        <w:rPr>
          <w:sz w:val="21"/>
          <w:szCs w:val="21"/>
        </w:rPr>
        <w:t>合同生效</w:t>
      </w:r>
    </w:p>
    <w:p>
      <w:pPr>
        <w:pStyle w:val="11"/>
        <w:spacing w:before="161" w:line="360" w:lineRule="auto"/>
        <w:ind w:left="654"/>
        <w:rPr>
          <w:sz w:val="21"/>
          <w:szCs w:val="21"/>
        </w:rPr>
      </w:pPr>
      <w:r>
        <w:rPr>
          <w:sz w:val="21"/>
          <w:szCs w:val="21"/>
        </w:rPr>
        <w:t>本合同自双方当事人盖章时生效。</w:t>
      </w:r>
    </w:p>
    <w:p>
      <w:pPr>
        <w:pStyle w:val="11"/>
        <w:spacing w:line="360" w:lineRule="auto"/>
        <w:rPr>
          <w:sz w:val="21"/>
          <w:szCs w:val="21"/>
        </w:rPr>
      </w:pPr>
    </w:p>
    <w:p>
      <w:pPr>
        <w:pStyle w:val="11"/>
        <w:spacing w:line="360" w:lineRule="auto"/>
        <w:rPr>
          <w:sz w:val="21"/>
          <w:szCs w:val="21"/>
        </w:rPr>
      </w:pPr>
    </w:p>
    <w:p>
      <w:pPr>
        <w:pStyle w:val="11"/>
        <w:spacing w:line="360" w:lineRule="auto"/>
        <w:rPr>
          <w:sz w:val="21"/>
          <w:szCs w:val="21"/>
        </w:rPr>
      </w:pPr>
    </w:p>
    <w:p>
      <w:pPr>
        <w:pStyle w:val="11"/>
        <w:spacing w:line="360" w:lineRule="auto"/>
        <w:rPr>
          <w:sz w:val="21"/>
          <w:szCs w:val="21"/>
        </w:rPr>
      </w:pPr>
    </w:p>
    <w:p>
      <w:pPr>
        <w:pStyle w:val="11"/>
        <w:spacing w:line="360" w:lineRule="auto"/>
        <w:rPr>
          <w:sz w:val="21"/>
          <w:szCs w:val="21"/>
        </w:rPr>
      </w:pPr>
    </w:p>
    <w:p>
      <w:pPr>
        <w:pStyle w:val="11"/>
        <w:spacing w:before="10" w:line="360" w:lineRule="auto"/>
        <w:rPr>
          <w:sz w:val="21"/>
          <w:szCs w:val="21"/>
        </w:rPr>
      </w:pPr>
    </w:p>
    <w:p>
      <w:pPr>
        <w:pStyle w:val="11"/>
        <w:tabs>
          <w:tab w:val="left" w:pos="940"/>
          <w:tab w:val="left" w:pos="1900"/>
          <w:tab w:val="left" w:pos="3940"/>
          <w:tab w:val="left" w:pos="5141"/>
          <w:tab w:val="left" w:pos="6341"/>
          <w:tab w:val="left" w:pos="8381"/>
        </w:tabs>
        <w:spacing w:line="360" w:lineRule="auto"/>
        <w:rPr>
          <w:sz w:val="21"/>
          <w:szCs w:val="21"/>
        </w:rPr>
      </w:pPr>
      <w:r>
        <w:rPr>
          <w:sz w:val="21"/>
          <w:szCs w:val="21"/>
        </w:rPr>
        <w:t>甲</w:t>
      </w:r>
      <w:r>
        <w:rPr>
          <w:sz w:val="21"/>
          <w:szCs w:val="21"/>
        </w:rPr>
        <w:tab/>
      </w:r>
      <w:r>
        <w:rPr>
          <w:sz w:val="21"/>
          <w:szCs w:val="21"/>
        </w:rPr>
        <w:t>方：</w:t>
      </w:r>
      <w:r>
        <w:rPr>
          <w:sz w:val="21"/>
          <w:szCs w:val="21"/>
          <w:u w:val="single"/>
        </w:rPr>
        <w:t xml:space="preserve"> </w:t>
      </w:r>
      <w:r>
        <w:rPr>
          <w:sz w:val="21"/>
          <w:szCs w:val="21"/>
          <w:u w:val="single"/>
        </w:rPr>
        <w:tab/>
      </w:r>
      <w:r>
        <w:rPr>
          <w:sz w:val="21"/>
          <w:szCs w:val="21"/>
          <w:u w:val="single"/>
        </w:rPr>
        <w:t>（单位盖章）</w:t>
      </w:r>
      <w:r>
        <w:rPr>
          <w:sz w:val="21"/>
          <w:szCs w:val="21"/>
          <w:u w:val="single"/>
        </w:rPr>
        <w:tab/>
      </w:r>
      <w:r>
        <w:rPr>
          <w:sz w:val="21"/>
          <w:szCs w:val="21"/>
        </w:rPr>
        <w:tab/>
      </w:r>
      <w:r>
        <w:rPr>
          <w:sz w:val="21"/>
          <w:szCs w:val="21"/>
        </w:rPr>
        <w:t>乙方：</w:t>
      </w:r>
      <w:r>
        <w:rPr>
          <w:sz w:val="21"/>
          <w:szCs w:val="21"/>
          <w:u w:val="single"/>
        </w:rPr>
        <w:t xml:space="preserve"> </w:t>
      </w:r>
      <w:r>
        <w:rPr>
          <w:sz w:val="21"/>
          <w:szCs w:val="21"/>
          <w:u w:val="single"/>
        </w:rPr>
        <w:tab/>
      </w:r>
      <w:r>
        <w:rPr>
          <w:sz w:val="21"/>
          <w:szCs w:val="21"/>
          <w:u w:val="single"/>
        </w:rPr>
        <w:t>（单位盖章）</w:t>
      </w:r>
      <w:r>
        <w:rPr>
          <w:sz w:val="21"/>
          <w:szCs w:val="21"/>
          <w:u w:val="single"/>
        </w:rPr>
        <w:tab/>
      </w:r>
    </w:p>
    <w:p>
      <w:pPr>
        <w:pStyle w:val="11"/>
        <w:spacing w:before="6" w:line="360" w:lineRule="auto"/>
        <w:rPr>
          <w:sz w:val="21"/>
          <w:szCs w:val="21"/>
        </w:rPr>
      </w:pPr>
    </w:p>
    <w:p>
      <w:pPr>
        <w:pStyle w:val="11"/>
        <w:tabs>
          <w:tab w:val="left" w:pos="5141"/>
        </w:tabs>
        <w:spacing w:before="66" w:line="360" w:lineRule="auto"/>
        <w:rPr>
          <w:sz w:val="21"/>
          <w:szCs w:val="21"/>
        </w:rPr>
      </w:pPr>
      <w:r>
        <w:rPr>
          <w:sz w:val="21"/>
          <w:szCs w:val="21"/>
        </w:rPr>
        <w:t>法定代表人</w:t>
      </w:r>
      <w:r>
        <w:rPr>
          <w:sz w:val="21"/>
          <w:szCs w:val="21"/>
        </w:rPr>
        <w:tab/>
      </w:r>
      <w:r>
        <w:rPr>
          <w:sz w:val="21"/>
          <w:szCs w:val="21"/>
        </w:rPr>
        <w:t>法定代表人</w:t>
      </w:r>
    </w:p>
    <w:p>
      <w:pPr>
        <w:pStyle w:val="11"/>
        <w:spacing w:before="11" w:line="360" w:lineRule="auto"/>
        <w:rPr>
          <w:sz w:val="21"/>
          <w:szCs w:val="21"/>
        </w:rPr>
      </w:pPr>
    </w:p>
    <w:p>
      <w:pPr>
        <w:pStyle w:val="11"/>
        <w:tabs>
          <w:tab w:val="left" w:pos="5141"/>
        </w:tabs>
        <w:spacing w:line="360" w:lineRule="auto"/>
        <w:rPr>
          <w:sz w:val="21"/>
          <w:szCs w:val="21"/>
        </w:rPr>
      </w:pPr>
      <w:r>
        <w:rPr>
          <w:sz w:val="21"/>
          <w:szCs w:val="21"/>
        </w:rPr>
        <w:t>或授权代表（签字</w:t>
      </w:r>
      <w:r>
        <w:rPr>
          <w:spacing w:val="-120"/>
          <w:sz w:val="21"/>
          <w:szCs w:val="21"/>
        </w:rPr>
        <w:t>）</w:t>
      </w:r>
      <w:r>
        <w:rPr>
          <w:sz w:val="21"/>
          <w:szCs w:val="21"/>
        </w:rPr>
        <w:t>：</w:t>
      </w:r>
      <w:r>
        <w:rPr>
          <w:sz w:val="21"/>
          <w:szCs w:val="21"/>
        </w:rPr>
        <w:tab/>
      </w:r>
      <w:r>
        <w:rPr>
          <w:sz w:val="21"/>
          <w:szCs w:val="21"/>
        </w:rPr>
        <w:t>或授权代表（签字</w:t>
      </w:r>
      <w:r>
        <w:rPr>
          <w:spacing w:val="-120"/>
          <w:sz w:val="21"/>
          <w:szCs w:val="21"/>
        </w:rPr>
        <w:t>）</w:t>
      </w:r>
      <w:r>
        <w:rPr>
          <w:sz w:val="21"/>
          <w:szCs w:val="21"/>
        </w:rPr>
        <w:t>：</w:t>
      </w:r>
    </w:p>
    <w:p>
      <w:pPr>
        <w:pStyle w:val="11"/>
        <w:spacing w:before="8" w:line="360" w:lineRule="auto"/>
        <w:rPr>
          <w:sz w:val="21"/>
          <w:szCs w:val="21"/>
        </w:rPr>
      </w:pPr>
    </w:p>
    <w:p>
      <w:pPr>
        <w:pStyle w:val="11"/>
        <w:tabs>
          <w:tab w:val="left" w:pos="1660"/>
          <w:tab w:val="left" w:pos="2380"/>
          <w:tab w:val="left" w:pos="3100"/>
          <w:tab w:val="left" w:pos="5141"/>
          <w:tab w:val="left" w:pos="6581"/>
          <w:tab w:val="left" w:pos="7301"/>
          <w:tab w:val="left" w:pos="8021"/>
        </w:tabs>
        <w:spacing w:line="360" w:lineRule="auto"/>
        <w:rPr>
          <w:sz w:val="21"/>
          <w:szCs w:val="21"/>
        </w:rPr>
      </w:pPr>
      <w:r>
        <w:rPr>
          <w:sz w:val="21"/>
          <w:szCs w:val="21"/>
        </w:rPr>
        <w:t>时间：</w:t>
      </w:r>
      <w:r>
        <w:rPr>
          <w:sz w:val="21"/>
          <w:szCs w:val="21"/>
          <w:u w:val="single"/>
        </w:rPr>
        <w:t xml:space="preserve"> </w:t>
      </w:r>
      <w:r>
        <w:rPr>
          <w:sz w:val="21"/>
          <w:szCs w:val="21"/>
          <w:u w:val="single"/>
        </w:rPr>
        <w:tab/>
      </w:r>
      <w:r>
        <w:rPr>
          <w:sz w:val="21"/>
          <w:szCs w:val="21"/>
        </w:rPr>
        <w:t>年</w:t>
      </w:r>
      <w:r>
        <w:rPr>
          <w:sz w:val="21"/>
          <w:szCs w:val="21"/>
          <w:u w:val="single"/>
        </w:rPr>
        <w:t xml:space="preserve"> </w:t>
      </w:r>
      <w:r>
        <w:rPr>
          <w:sz w:val="21"/>
          <w:szCs w:val="21"/>
          <w:u w:val="single"/>
        </w:rPr>
        <w:tab/>
      </w:r>
      <w:r>
        <w:rPr>
          <w:sz w:val="21"/>
          <w:szCs w:val="21"/>
        </w:rPr>
        <w:t>月</w:t>
      </w:r>
      <w:r>
        <w:rPr>
          <w:sz w:val="21"/>
          <w:szCs w:val="21"/>
          <w:u w:val="single"/>
        </w:rPr>
        <w:t xml:space="preserve"> </w:t>
      </w:r>
      <w:r>
        <w:rPr>
          <w:sz w:val="21"/>
          <w:szCs w:val="21"/>
          <w:u w:val="single"/>
        </w:rPr>
        <w:tab/>
      </w:r>
      <w:r>
        <w:rPr>
          <w:sz w:val="21"/>
          <w:szCs w:val="21"/>
        </w:rPr>
        <w:t>日</w:t>
      </w:r>
      <w:r>
        <w:rPr>
          <w:sz w:val="21"/>
          <w:szCs w:val="21"/>
        </w:rPr>
        <w:tab/>
      </w:r>
      <w:r>
        <w:rPr>
          <w:sz w:val="21"/>
          <w:szCs w:val="21"/>
        </w:rPr>
        <w:t>时间：</w:t>
      </w:r>
      <w:r>
        <w:rPr>
          <w:sz w:val="21"/>
          <w:szCs w:val="21"/>
          <w:u w:val="single"/>
        </w:rPr>
        <w:t xml:space="preserve"> </w:t>
      </w:r>
      <w:r>
        <w:rPr>
          <w:sz w:val="21"/>
          <w:szCs w:val="21"/>
          <w:u w:val="single"/>
        </w:rPr>
        <w:tab/>
      </w:r>
      <w:r>
        <w:rPr>
          <w:sz w:val="21"/>
          <w:szCs w:val="21"/>
        </w:rPr>
        <w:t>年</w:t>
      </w:r>
      <w:r>
        <w:rPr>
          <w:sz w:val="21"/>
          <w:szCs w:val="21"/>
          <w:u w:val="single"/>
        </w:rPr>
        <w:t xml:space="preserve"> </w:t>
      </w:r>
      <w:r>
        <w:rPr>
          <w:sz w:val="21"/>
          <w:szCs w:val="21"/>
          <w:u w:val="single"/>
        </w:rPr>
        <w:tab/>
      </w:r>
      <w:r>
        <w:rPr>
          <w:sz w:val="21"/>
          <w:szCs w:val="21"/>
        </w:rPr>
        <w:t>月</w:t>
      </w:r>
      <w:r>
        <w:rPr>
          <w:sz w:val="21"/>
          <w:szCs w:val="21"/>
          <w:u w:val="single"/>
        </w:rPr>
        <w:t xml:space="preserve"> </w:t>
      </w:r>
      <w:r>
        <w:rPr>
          <w:sz w:val="21"/>
          <w:szCs w:val="21"/>
          <w:u w:val="single"/>
        </w:rPr>
        <w:tab/>
      </w:r>
      <w:r>
        <w:rPr>
          <w:sz w:val="21"/>
          <w:szCs w:val="21"/>
        </w:rPr>
        <w:t>日</w:t>
      </w:r>
    </w:p>
    <w:p>
      <w:pPr>
        <w:spacing w:line="360" w:lineRule="auto"/>
        <w:rPr>
          <w:rFonts w:ascii="宋体" w:hAnsi="宋体"/>
        </w:rPr>
        <w:sectPr>
          <w:pgSz w:w="11910" w:h="16840"/>
          <w:pgMar w:top="1380" w:right="1440" w:bottom="1500" w:left="1580" w:header="877" w:footer="1304" w:gutter="0"/>
          <w:pgNumType w:fmt="decimal"/>
          <w:cols w:space="720" w:num="1"/>
        </w:sectPr>
      </w:pPr>
    </w:p>
    <w:p>
      <w:pPr>
        <w:pStyle w:val="27"/>
        <w:spacing w:line="360" w:lineRule="auto"/>
        <w:ind w:left="1367" w:right="1505"/>
        <w:jc w:val="center"/>
        <w:rPr>
          <w:sz w:val="21"/>
          <w:szCs w:val="21"/>
        </w:rPr>
      </w:pPr>
      <w:r>
        <w:rPr>
          <w:sz w:val="21"/>
          <w:szCs w:val="21"/>
        </w:rPr>
        <w:t>第二部分 合同一般条款</w:t>
      </w:r>
    </w:p>
    <w:p>
      <w:pPr>
        <w:pStyle w:val="27"/>
        <w:numPr>
          <w:ilvl w:val="1"/>
          <w:numId w:val="24"/>
        </w:numPr>
        <w:tabs>
          <w:tab w:val="left" w:pos="1142"/>
        </w:tabs>
        <w:spacing w:before="160" w:line="360" w:lineRule="auto"/>
        <w:rPr>
          <w:sz w:val="21"/>
          <w:szCs w:val="21"/>
        </w:rPr>
      </w:pPr>
      <w:r>
        <w:rPr>
          <w:sz w:val="21"/>
          <w:szCs w:val="21"/>
        </w:rPr>
        <w:t>定义</w:t>
      </w:r>
    </w:p>
    <w:p>
      <w:pPr>
        <w:pStyle w:val="11"/>
        <w:spacing w:before="161" w:line="360" w:lineRule="auto"/>
        <w:ind w:left="654"/>
        <w:rPr>
          <w:sz w:val="21"/>
          <w:szCs w:val="21"/>
        </w:rPr>
      </w:pPr>
      <w:r>
        <w:rPr>
          <w:sz w:val="21"/>
          <w:szCs w:val="21"/>
        </w:rPr>
        <w:t>本合同中的下列词语应按以下内容进行解释：</w:t>
      </w:r>
    </w:p>
    <w:p>
      <w:pPr>
        <w:pStyle w:val="26"/>
        <w:numPr>
          <w:ilvl w:val="2"/>
          <w:numId w:val="24"/>
        </w:numPr>
        <w:tabs>
          <w:tab w:val="left" w:pos="1256"/>
        </w:tabs>
        <w:autoSpaceDE w:val="0"/>
        <w:autoSpaceDN w:val="0"/>
        <w:spacing w:before="160" w:line="360" w:lineRule="auto"/>
        <w:ind w:right="358" w:firstLine="434" w:firstLineChars="0"/>
        <w:rPr>
          <w:rFonts w:ascii="宋体" w:hAnsi="宋体"/>
          <w:szCs w:val="21"/>
        </w:rPr>
      </w:pPr>
      <w:r>
        <w:rPr>
          <w:rFonts w:ascii="宋体" w:hAnsi="宋体"/>
          <w:szCs w:val="21"/>
        </w:rPr>
        <w:t>“合同”系指采购人和中标人签订的载明双方当事人所达成的协议， 并包括所有的附件、附录和构成合同的其他文件。</w:t>
      </w:r>
    </w:p>
    <w:p>
      <w:pPr>
        <w:pStyle w:val="26"/>
        <w:numPr>
          <w:ilvl w:val="2"/>
          <w:numId w:val="24"/>
        </w:numPr>
        <w:tabs>
          <w:tab w:val="left" w:pos="1256"/>
        </w:tabs>
        <w:autoSpaceDE w:val="0"/>
        <w:autoSpaceDN w:val="0"/>
        <w:spacing w:before="2" w:line="360" w:lineRule="auto"/>
        <w:ind w:right="356" w:firstLine="434" w:firstLineChars="0"/>
        <w:rPr>
          <w:rFonts w:ascii="宋体" w:hAnsi="宋体"/>
          <w:szCs w:val="21"/>
        </w:rPr>
      </w:pPr>
      <w:r>
        <w:rPr>
          <w:rFonts w:ascii="宋体" w:hAnsi="宋体"/>
          <w:szCs w:val="21"/>
        </w:rPr>
        <w:t>“合同价”系指根据合同约定，中标人在完全履行合同义务后，采购人应支付给中标人的价格。</w:t>
      </w:r>
    </w:p>
    <w:p>
      <w:pPr>
        <w:pStyle w:val="26"/>
        <w:numPr>
          <w:ilvl w:val="2"/>
          <w:numId w:val="24"/>
        </w:numPr>
        <w:tabs>
          <w:tab w:val="left" w:pos="1256"/>
        </w:tabs>
        <w:autoSpaceDE w:val="0"/>
        <w:autoSpaceDN w:val="0"/>
        <w:spacing w:before="1" w:line="360" w:lineRule="auto"/>
        <w:ind w:right="356" w:firstLine="434" w:firstLineChars="0"/>
        <w:rPr>
          <w:rFonts w:ascii="宋体" w:hAnsi="宋体"/>
          <w:szCs w:val="21"/>
        </w:rPr>
      </w:pPr>
      <w:r>
        <w:rPr>
          <w:rFonts w:ascii="宋体" w:hAnsi="宋体"/>
          <w:szCs w:val="21"/>
        </w:rPr>
        <w:t>“货物”系指中标人根据合同约定应向采购人交付的一切各种形态和</w:t>
      </w:r>
      <w:r>
        <w:rPr>
          <w:rFonts w:ascii="宋体" w:hAnsi="宋体"/>
          <w:spacing w:val="-10"/>
          <w:szCs w:val="21"/>
        </w:rPr>
        <w:t>种类的物品，包括原材料、燃料、设备、机械、仪表、备件、计算机软件、产品</w:t>
      </w:r>
      <w:r>
        <w:rPr>
          <w:rFonts w:ascii="宋体" w:hAnsi="宋体"/>
          <w:szCs w:val="21"/>
        </w:rPr>
        <w:t>等，并包括工具、手册等其他相关资料。</w:t>
      </w:r>
    </w:p>
    <w:p>
      <w:pPr>
        <w:pStyle w:val="26"/>
        <w:numPr>
          <w:ilvl w:val="2"/>
          <w:numId w:val="24"/>
        </w:numPr>
        <w:tabs>
          <w:tab w:val="left" w:pos="1256"/>
        </w:tabs>
        <w:autoSpaceDE w:val="0"/>
        <w:autoSpaceDN w:val="0"/>
        <w:spacing w:before="2" w:line="360" w:lineRule="auto"/>
        <w:ind w:right="356" w:firstLine="434" w:firstLineChars="0"/>
        <w:rPr>
          <w:rFonts w:ascii="宋体" w:hAnsi="宋体"/>
          <w:szCs w:val="21"/>
        </w:rPr>
      </w:pPr>
      <w:r>
        <w:rPr>
          <w:rFonts w:ascii="宋体" w:hAnsi="宋体"/>
          <w:szCs w:val="21"/>
        </w:rPr>
        <w:t>“甲方”系指与中标人签署合同的采购人；采购人委托采购代理机构代表其与乙方签订合同的，采购人的授权委托书作为合同附件。</w:t>
      </w:r>
    </w:p>
    <w:p>
      <w:pPr>
        <w:pStyle w:val="26"/>
        <w:numPr>
          <w:ilvl w:val="2"/>
          <w:numId w:val="24"/>
        </w:numPr>
        <w:tabs>
          <w:tab w:val="left" w:pos="1256"/>
        </w:tabs>
        <w:autoSpaceDE w:val="0"/>
        <w:autoSpaceDN w:val="0"/>
        <w:spacing w:before="1" w:line="360" w:lineRule="auto"/>
        <w:ind w:right="244" w:firstLine="434" w:firstLineChars="0"/>
        <w:rPr>
          <w:rFonts w:ascii="宋体" w:hAnsi="宋体"/>
          <w:szCs w:val="21"/>
        </w:rPr>
      </w:pPr>
      <w:r>
        <w:rPr>
          <w:rFonts w:ascii="宋体" w:hAnsi="宋体"/>
          <w:szCs w:val="21"/>
        </w:rPr>
        <w:t>“乙方”系指根据合同约定交付货物的中标人；两个以上的自然人、</w:t>
      </w:r>
      <w:r>
        <w:rPr>
          <w:rFonts w:ascii="宋体" w:hAnsi="宋体"/>
          <w:spacing w:val="-1"/>
          <w:szCs w:val="21"/>
        </w:rPr>
        <w:t xml:space="preserve">法人或者其他组织组成一个联合体，以一个供应商的身份共同参加政府采购的， </w:t>
      </w:r>
      <w:r>
        <w:rPr>
          <w:rFonts w:ascii="宋体" w:hAnsi="宋体"/>
          <w:spacing w:val="-4"/>
          <w:szCs w:val="21"/>
        </w:rPr>
        <w:t>联合体各方均应为乙方或者与乙方相同地位的合同当事人，并就合同约定的事项对甲方承担连带责任。</w:t>
      </w:r>
    </w:p>
    <w:p>
      <w:pPr>
        <w:pStyle w:val="26"/>
        <w:numPr>
          <w:ilvl w:val="2"/>
          <w:numId w:val="24"/>
        </w:numPr>
        <w:tabs>
          <w:tab w:val="left" w:pos="1256"/>
        </w:tabs>
        <w:autoSpaceDE w:val="0"/>
        <w:autoSpaceDN w:val="0"/>
        <w:spacing w:before="3" w:line="360" w:lineRule="auto"/>
        <w:ind w:left="1255" w:hanging="602" w:firstLineChars="0"/>
        <w:rPr>
          <w:rFonts w:ascii="宋体" w:hAnsi="宋体"/>
          <w:szCs w:val="21"/>
        </w:rPr>
      </w:pPr>
      <w:r>
        <w:rPr>
          <w:rFonts w:ascii="宋体" w:hAnsi="宋体"/>
          <w:szCs w:val="21"/>
        </w:rPr>
        <w:t>“现场”系指合同约定货物将要运至或者安装的地点。</w:t>
      </w:r>
    </w:p>
    <w:p>
      <w:pPr>
        <w:pStyle w:val="27"/>
        <w:numPr>
          <w:ilvl w:val="1"/>
          <w:numId w:val="24"/>
        </w:numPr>
        <w:tabs>
          <w:tab w:val="left" w:pos="1142"/>
        </w:tabs>
        <w:spacing w:before="161" w:line="360" w:lineRule="auto"/>
        <w:jc w:val="both"/>
        <w:rPr>
          <w:sz w:val="21"/>
          <w:szCs w:val="21"/>
        </w:rPr>
      </w:pPr>
      <w:r>
        <w:rPr>
          <w:sz w:val="21"/>
          <w:szCs w:val="21"/>
        </w:rPr>
        <w:t>技术规范</w:t>
      </w:r>
    </w:p>
    <w:p>
      <w:pPr>
        <w:pStyle w:val="11"/>
        <w:spacing w:before="160" w:line="360" w:lineRule="auto"/>
        <w:ind w:right="356" w:firstLine="434"/>
        <w:jc w:val="both"/>
        <w:rPr>
          <w:sz w:val="21"/>
          <w:szCs w:val="21"/>
        </w:rPr>
      </w:pPr>
      <w:r>
        <w:rPr>
          <w:sz w:val="21"/>
          <w:szCs w:val="21"/>
        </w:rPr>
        <w:t>货物所应遵守的技术规范应与采购文件规定的技术规范和技术规范附件(如</w:t>
      </w:r>
      <w:r>
        <w:rPr>
          <w:spacing w:val="-1"/>
          <w:sz w:val="21"/>
          <w:szCs w:val="21"/>
        </w:rPr>
        <w:t>果有的话)及其技术规范偏差表(如果被甲方接受的话)相一致；如果采购文件中</w:t>
      </w:r>
      <w:r>
        <w:rPr>
          <w:spacing w:val="-9"/>
          <w:sz w:val="21"/>
          <w:szCs w:val="21"/>
        </w:rPr>
        <w:t>没有技术规范的相应说明，那么应以国家有关部门最新颁布的相应标准和规范为</w:t>
      </w:r>
      <w:r>
        <w:rPr>
          <w:sz w:val="21"/>
          <w:szCs w:val="21"/>
        </w:rPr>
        <w:t>准。</w:t>
      </w:r>
    </w:p>
    <w:p>
      <w:pPr>
        <w:pStyle w:val="27"/>
        <w:numPr>
          <w:ilvl w:val="1"/>
          <w:numId w:val="24"/>
        </w:numPr>
        <w:tabs>
          <w:tab w:val="left" w:pos="1142"/>
        </w:tabs>
        <w:spacing w:before="3" w:line="360" w:lineRule="auto"/>
        <w:jc w:val="both"/>
        <w:rPr>
          <w:sz w:val="21"/>
          <w:szCs w:val="21"/>
        </w:rPr>
      </w:pPr>
      <w:r>
        <w:rPr>
          <w:sz w:val="21"/>
          <w:szCs w:val="21"/>
        </w:rPr>
        <w:t>知识产权</w:t>
      </w:r>
    </w:p>
    <w:p>
      <w:pPr>
        <w:pStyle w:val="26"/>
        <w:numPr>
          <w:ilvl w:val="2"/>
          <w:numId w:val="24"/>
        </w:numPr>
        <w:tabs>
          <w:tab w:val="left" w:pos="1327"/>
        </w:tabs>
        <w:autoSpaceDE w:val="0"/>
        <w:autoSpaceDN w:val="0"/>
        <w:spacing w:before="161" w:line="360" w:lineRule="auto"/>
        <w:ind w:right="238" w:firstLine="434" w:firstLineChars="0"/>
        <w:rPr>
          <w:rFonts w:ascii="宋体" w:hAnsi="宋体"/>
          <w:szCs w:val="21"/>
        </w:rPr>
      </w:pPr>
      <w:r>
        <w:rPr>
          <w:rFonts w:ascii="宋体" w:hAnsi="宋体"/>
          <w:szCs w:val="21"/>
        </w:rPr>
        <w:t>乙方应保证甲方在使用该货物或其任何一部分时不受任何第三方提出</w:t>
      </w:r>
      <w:r>
        <w:rPr>
          <w:rFonts w:ascii="宋体" w:hAnsi="宋体"/>
          <w:spacing w:val="-8"/>
          <w:szCs w:val="21"/>
        </w:rPr>
        <w:t>的侵犯其著作权、商标权、专利权等知识产权方面的起诉；如果任何第三方提出</w:t>
      </w:r>
      <w:r>
        <w:rPr>
          <w:rFonts w:ascii="宋体" w:hAnsi="宋体"/>
          <w:spacing w:val="-17"/>
          <w:szCs w:val="21"/>
        </w:rPr>
        <w:t>侵权指控，那么乙方须与该第三方交涉并承担由此发生的一切责任、费用和赔偿；</w:t>
      </w:r>
    </w:p>
    <w:p>
      <w:pPr>
        <w:pStyle w:val="26"/>
        <w:numPr>
          <w:ilvl w:val="2"/>
          <w:numId w:val="24"/>
        </w:numPr>
        <w:tabs>
          <w:tab w:val="left" w:pos="1322"/>
        </w:tabs>
        <w:autoSpaceDE w:val="0"/>
        <w:autoSpaceDN w:val="0"/>
        <w:spacing w:line="360" w:lineRule="auto"/>
        <w:ind w:right="356" w:firstLine="434" w:firstLineChars="0"/>
        <w:rPr>
          <w:rFonts w:ascii="宋体" w:hAnsi="宋体"/>
          <w:szCs w:val="21"/>
        </w:rPr>
      </w:pPr>
      <w:r>
        <w:rPr>
          <w:rFonts w:ascii="宋体" w:hAnsi="宋体"/>
          <w:w w:val="95"/>
          <w:szCs w:val="21"/>
        </w:rPr>
        <w:t>具有知识产权的计算机软件等货物的知识产权归属，详见</w:t>
      </w:r>
      <w:r>
        <w:rPr>
          <w:rFonts w:ascii="宋体" w:hAnsi="宋体"/>
          <w:b/>
          <w:i/>
          <w:spacing w:val="-4"/>
          <w:w w:val="95"/>
          <w:szCs w:val="21"/>
          <w:u w:val="single"/>
        </w:rPr>
        <w:t xml:space="preserve">合同专用条 </w:t>
      </w:r>
      <w:r>
        <w:rPr>
          <w:rFonts w:ascii="宋体" w:hAnsi="宋体"/>
          <w:b/>
          <w:i/>
          <w:szCs w:val="21"/>
          <w:u w:val="single"/>
        </w:rPr>
        <w:t>款</w:t>
      </w:r>
      <w:r>
        <w:rPr>
          <w:rFonts w:ascii="宋体" w:hAnsi="宋体"/>
          <w:szCs w:val="21"/>
        </w:rPr>
        <w:t>。</w:t>
      </w:r>
    </w:p>
    <w:p>
      <w:pPr>
        <w:pStyle w:val="27"/>
        <w:numPr>
          <w:ilvl w:val="1"/>
          <w:numId w:val="24"/>
        </w:numPr>
        <w:tabs>
          <w:tab w:val="left" w:pos="1142"/>
        </w:tabs>
        <w:spacing w:before="3" w:line="360" w:lineRule="auto"/>
        <w:jc w:val="both"/>
        <w:rPr>
          <w:sz w:val="21"/>
          <w:szCs w:val="21"/>
        </w:rPr>
      </w:pPr>
      <w:r>
        <w:rPr>
          <w:sz w:val="21"/>
          <w:szCs w:val="21"/>
        </w:rPr>
        <w:t>包装和装运</w:t>
      </w:r>
    </w:p>
    <w:p>
      <w:pPr>
        <w:spacing w:line="360" w:lineRule="auto"/>
        <w:rPr>
          <w:rFonts w:ascii="宋体" w:hAnsi="宋体"/>
        </w:rPr>
        <w:sectPr>
          <w:pgSz w:w="11910" w:h="16840"/>
          <w:pgMar w:top="1380" w:right="1440" w:bottom="1500" w:left="1580" w:header="877" w:footer="1304" w:gutter="0"/>
          <w:pgNumType w:fmt="decimal"/>
          <w:cols w:space="720" w:num="1"/>
        </w:sectPr>
      </w:pPr>
    </w:p>
    <w:p>
      <w:pPr>
        <w:pStyle w:val="26"/>
        <w:numPr>
          <w:ilvl w:val="2"/>
          <w:numId w:val="24"/>
        </w:numPr>
        <w:tabs>
          <w:tab w:val="left" w:pos="1320"/>
        </w:tabs>
        <w:autoSpaceDE w:val="0"/>
        <w:autoSpaceDN w:val="0"/>
        <w:spacing w:before="122" w:line="360" w:lineRule="auto"/>
        <w:ind w:right="356" w:firstLine="434" w:firstLineChars="0"/>
        <w:rPr>
          <w:rFonts w:ascii="宋体" w:hAnsi="宋体"/>
          <w:szCs w:val="21"/>
        </w:rPr>
      </w:pPr>
      <w:r>
        <w:rPr>
          <w:rFonts w:ascii="宋体" w:hAnsi="宋体"/>
          <w:w w:val="95"/>
          <w:szCs w:val="21"/>
        </w:rPr>
        <w:t>除</w:t>
      </w:r>
      <w:r>
        <w:rPr>
          <w:rFonts w:ascii="宋体" w:hAnsi="宋体"/>
          <w:b/>
          <w:i/>
          <w:w w:val="95"/>
          <w:szCs w:val="21"/>
          <w:u w:val="single"/>
        </w:rPr>
        <w:t>合同专用条款</w:t>
      </w:r>
      <w:r>
        <w:rPr>
          <w:rFonts w:ascii="宋体" w:hAnsi="宋体"/>
          <w:spacing w:val="-1"/>
          <w:w w:val="95"/>
          <w:szCs w:val="21"/>
        </w:rPr>
        <w:t xml:space="preserve">另有约定外,乙方交付的全部货物,均应采用本行业通 </w:t>
      </w:r>
      <w:r>
        <w:rPr>
          <w:rFonts w:ascii="宋体" w:hAnsi="宋体"/>
          <w:spacing w:val="-8"/>
          <w:szCs w:val="21"/>
        </w:rPr>
        <w:t>用的方式进行包装，没有通用方式的，应当采取足以保护货物的包装方式，且该包装应符合国家有关包装的法律、法规的规定。如有必要，包装应适用于远距离</w:t>
      </w:r>
      <w:r>
        <w:rPr>
          <w:rFonts w:ascii="宋体" w:hAnsi="宋体"/>
          <w:spacing w:val="-12"/>
          <w:szCs w:val="21"/>
        </w:rPr>
        <w:t>运输、防潮、防震、防锈和防粗暴装卸，确保货物安全无损地运抵现场。由于包</w:t>
      </w:r>
      <w:r>
        <w:rPr>
          <w:rFonts w:ascii="宋体" w:hAnsi="宋体"/>
          <w:szCs w:val="21"/>
        </w:rPr>
        <w:t>装不善所引起的货物锈蚀、损坏和损失等一切风险均由乙方承担。</w:t>
      </w:r>
    </w:p>
    <w:p>
      <w:pPr>
        <w:pStyle w:val="26"/>
        <w:numPr>
          <w:ilvl w:val="2"/>
          <w:numId w:val="24"/>
        </w:numPr>
        <w:tabs>
          <w:tab w:val="left" w:pos="1315"/>
        </w:tabs>
        <w:autoSpaceDE w:val="0"/>
        <w:autoSpaceDN w:val="0"/>
        <w:spacing w:line="360" w:lineRule="auto"/>
        <w:ind w:left="1314" w:hanging="661" w:firstLineChars="0"/>
        <w:rPr>
          <w:rFonts w:ascii="宋体" w:hAnsi="宋体"/>
          <w:szCs w:val="21"/>
        </w:rPr>
      </w:pPr>
      <w:r>
        <w:rPr>
          <w:rFonts w:ascii="宋体" w:hAnsi="宋体"/>
          <w:szCs w:val="21"/>
        </w:rPr>
        <w:t>装运货物的要求和通知，详见</w:t>
      </w:r>
      <w:r>
        <w:rPr>
          <w:rFonts w:ascii="宋体" w:hAnsi="宋体"/>
          <w:b/>
          <w:i/>
          <w:szCs w:val="21"/>
          <w:u w:val="single"/>
        </w:rPr>
        <w:t>合同专用条款</w:t>
      </w:r>
      <w:r>
        <w:rPr>
          <w:rFonts w:ascii="宋体" w:hAnsi="宋体"/>
          <w:szCs w:val="21"/>
        </w:rPr>
        <w:t>。</w:t>
      </w:r>
    </w:p>
    <w:p>
      <w:pPr>
        <w:pStyle w:val="27"/>
        <w:numPr>
          <w:ilvl w:val="1"/>
          <w:numId w:val="24"/>
        </w:numPr>
        <w:tabs>
          <w:tab w:val="left" w:pos="1142"/>
        </w:tabs>
        <w:spacing w:before="158" w:line="360" w:lineRule="auto"/>
        <w:jc w:val="both"/>
        <w:rPr>
          <w:sz w:val="21"/>
          <w:szCs w:val="21"/>
        </w:rPr>
      </w:pPr>
      <w:r>
        <w:rPr>
          <w:sz w:val="21"/>
          <w:szCs w:val="21"/>
        </w:rPr>
        <w:t>履约检查和问题反馈</w:t>
      </w:r>
    </w:p>
    <w:p>
      <w:pPr>
        <w:pStyle w:val="26"/>
        <w:numPr>
          <w:ilvl w:val="2"/>
          <w:numId w:val="24"/>
        </w:numPr>
        <w:tabs>
          <w:tab w:val="left" w:pos="1327"/>
        </w:tabs>
        <w:autoSpaceDE w:val="0"/>
        <w:autoSpaceDN w:val="0"/>
        <w:spacing w:before="161" w:line="360" w:lineRule="auto"/>
        <w:ind w:right="358" w:firstLine="434" w:firstLineChars="0"/>
        <w:rPr>
          <w:rFonts w:ascii="宋体" w:hAnsi="宋体"/>
          <w:szCs w:val="21"/>
        </w:rPr>
      </w:pPr>
      <w:r>
        <w:rPr>
          <w:rFonts w:ascii="宋体" w:hAnsi="宋体"/>
          <w:spacing w:val="-1"/>
          <w:szCs w:val="21"/>
        </w:rPr>
        <w:t>甲方有权在其认为必要时，对乙方是否能够按照合同约定交付货物进</w:t>
      </w:r>
      <w:r>
        <w:rPr>
          <w:rFonts w:ascii="宋体" w:hAnsi="宋体"/>
          <w:spacing w:val="-10"/>
          <w:szCs w:val="21"/>
        </w:rPr>
        <w:t>行履约检查，以确保乙方所交付的货物能够依约满足甲方项目需求，但不得因履</w:t>
      </w:r>
      <w:r>
        <w:rPr>
          <w:rFonts w:ascii="宋体" w:hAnsi="宋体"/>
          <w:szCs w:val="21"/>
        </w:rPr>
        <w:t>约检查妨碍乙方的正常工作，乙方应予积极配合；</w:t>
      </w:r>
    </w:p>
    <w:p>
      <w:pPr>
        <w:pStyle w:val="26"/>
        <w:numPr>
          <w:ilvl w:val="2"/>
          <w:numId w:val="24"/>
        </w:numPr>
        <w:tabs>
          <w:tab w:val="left" w:pos="1327"/>
        </w:tabs>
        <w:autoSpaceDE w:val="0"/>
        <w:autoSpaceDN w:val="0"/>
        <w:spacing w:before="1" w:line="360" w:lineRule="auto"/>
        <w:ind w:right="357" w:firstLine="434" w:firstLineChars="0"/>
        <w:rPr>
          <w:rFonts w:ascii="宋体" w:hAnsi="宋体"/>
          <w:szCs w:val="21"/>
        </w:rPr>
      </w:pPr>
      <w:r>
        <w:rPr>
          <w:rFonts w:ascii="宋体" w:hAnsi="宋体"/>
          <w:spacing w:val="-1"/>
          <w:szCs w:val="21"/>
        </w:rPr>
        <w:t>合同履行期间，甲方有权将履行过程中出现的问题反馈给乙方，双方</w:t>
      </w:r>
      <w:r>
        <w:rPr>
          <w:rFonts w:ascii="宋体" w:hAnsi="宋体"/>
          <w:szCs w:val="21"/>
        </w:rPr>
        <w:t>当事人应以书面形式约定需要完善和改进的内容。</w:t>
      </w:r>
    </w:p>
    <w:p>
      <w:pPr>
        <w:pStyle w:val="26"/>
        <w:numPr>
          <w:ilvl w:val="1"/>
          <w:numId w:val="24"/>
        </w:numPr>
        <w:tabs>
          <w:tab w:val="left" w:pos="1142"/>
        </w:tabs>
        <w:autoSpaceDE w:val="0"/>
        <w:autoSpaceDN w:val="0"/>
        <w:spacing w:before="2" w:line="360" w:lineRule="auto"/>
        <w:ind w:left="654" w:right="5575" w:firstLine="2" w:firstLineChars="0"/>
        <w:rPr>
          <w:rFonts w:ascii="宋体" w:hAnsi="宋体"/>
          <w:szCs w:val="21"/>
        </w:rPr>
      </w:pPr>
      <w:r>
        <w:rPr>
          <w:rFonts w:ascii="宋体" w:hAnsi="宋体"/>
          <w:b/>
          <w:spacing w:val="-2"/>
          <w:szCs w:val="21"/>
        </w:rPr>
        <w:t>结算方式和付款条件</w:t>
      </w:r>
      <w:r>
        <w:rPr>
          <w:rFonts w:ascii="宋体" w:hAnsi="宋体"/>
          <w:szCs w:val="21"/>
        </w:rPr>
        <w:t>详见</w:t>
      </w:r>
      <w:r>
        <w:rPr>
          <w:rFonts w:ascii="宋体" w:hAnsi="宋体"/>
          <w:b/>
          <w:i/>
          <w:szCs w:val="21"/>
          <w:u w:val="single"/>
        </w:rPr>
        <w:t>合同专用条款</w:t>
      </w:r>
      <w:r>
        <w:rPr>
          <w:rFonts w:ascii="宋体" w:hAnsi="宋体"/>
          <w:szCs w:val="21"/>
        </w:rPr>
        <w:t>。</w:t>
      </w:r>
    </w:p>
    <w:p>
      <w:pPr>
        <w:pStyle w:val="27"/>
        <w:numPr>
          <w:ilvl w:val="1"/>
          <w:numId w:val="24"/>
        </w:numPr>
        <w:tabs>
          <w:tab w:val="left" w:pos="1142"/>
        </w:tabs>
        <w:spacing w:before="1" w:line="360" w:lineRule="auto"/>
        <w:jc w:val="both"/>
        <w:rPr>
          <w:sz w:val="21"/>
          <w:szCs w:val="21"/>
        </w:rPr>
      </w:pPr>
      <w:r>
        <w:rPr>
          <w:sz w:val="21"/>
          <w:szCs w:val="21"/>
        </w:rPr>
        <w:t>技术资料和保密义务</w:t>
      </w:r>
    </w:p>
    <w:p>
      <w:pPr>
        <w:pStyle w:val="26"/>
        <w:numPr>
          <w:ilvl w:val="2"/>
          <w:numId w:val="24"/>
        </w:numPr>
        <w:tabs>
          <w:tab w:val="left" w:pos="1327"/>
        </w:tabs>
        <w:autoSpaceDE w:val="0"/>
        <w:autoSpaceDN w:val="0"/>
        <w:spacing w:before="160" w:line="360" w:lineRule="auto"/>
        <w:ind w:right="357" w:firstLine="434" w:firstLineChars="0"/>
        <w:rPr>
          <w:rFonts w:ascii="宋体" w:hAnsi="宋体"/>
          <w:szCs w:val="21"/>
        </w:rPr>
      </w:pPr>
      <w:r>
        <w:rPr>
          <w:rFonts w:ascii="宋体" w:hAnsi="宋体"/>
          <w:spacing w:val="-1"/>
          <w:szCs w:val="21"/>
        </w:rPr>
        <w:t>乙方有权依据合同约定和项目需要，向甲方了解有关情况，调阅有关</w:t>
      </w:r>
      <w:r>
        <w:rPr>
          <w:rFonts w:ascii="宋体" w:hAnsi="宋体"/>
          <w:szCs w:val="21"/>
        </w:rPr>
        <w:t>资料等，甲方应予积极配合；</w:t>
      </w:r>
    </w:p>
    <w:p>
      <w:pPr>
        <w:pStyle w:val="26"/>
        <w:numPr>
          <w:ilvl w:val="2"/>
          <w:numId w:val="24"/>
        </w:numPr>
        <w:tabs>
          <w:tab w:val="left" w:pos="1315"/>
        </w:tabs>
        <w:autoSpaceDE w:val="0"/>
        <w:autoSpaceDN w:val="0"/>
        <w:spacing w:before="1" w:line="360" w:lineRule="auto"/>
        <w:ind w:left="1314" w:hanging="661" w:firstLineChars="0"/>
        <w:rPr>
          <w:rFonts w:ascii="宋体" w:hAnsi="宋体"/>
          <w:szCs w:val="21"/>
        </w:rPr>
      </w:pPr>
      <w:r>
        <w:rPr>
          <w:rFonts w:ascii="宋体" w:hAnsi="宋体"/>
          <w:szCs w:val="21"/>
        </w:rPr>
        <w:t>乙方有义务妥善保管和保护由甲方提供的前款信息和资料等；</w:t>
      </w:r>
    </w:p>
    <w:p>
      <w:pPr>
        <w:pStyle w:val="26"/>
        <w:numPr>
          <w:ilvl w:val="2"/>
          <w:numId w:val="24"/>
        </w:numPr>
        <w:tabs>
          <w:tab w:val="left" w:pos="1327"/>
        </w:tabs>
        <w:autoSpaceDE w:val="0"/>
        <w:autoSpaceDN w:val="0"/>
        <w:spacing w:before="161" w:line="360" w:lineRule="auto"/>
        <w:ind w:right="355" w:firstLine="434" w:firstLineChars="0"/>
        <w:rPr>
          <w:rFonts w:ascii="宋体" w:hAnsi="宋体"/>
          <w:szCs w:val="21"/>
        </w:rPr>
      </w:pPr>
      <w:r>
        <w:rPr>
          <w:rFonts w:ascii="宋体" w:hAnsi="宋体"/>
          <w:spacing w:val="-1"/>
          <w:szCs w:val="21"/>
        </w:rPr>
        <w:t>除非依照法律规定或者对方当事人的书面同意，任何一方均应保证不</w:t>
      </w:r>
      <w:r>
        <w:rPr>
          <w:rFonts w:ascii="宋体" w:hAnsi="宋体"/>
          <w:szCs w:val="21"/>
        </w:rPr>
        <w:t>向任何第三方提供或披露有关合同的或者履行合同过程中知悉的对方当事人任</w:t>
      </w:r>
      <w:r>
        <w:rPr>
          <w:rFonts w:ascii="宋体" w:hAnsi="宋体"/>
          <w:spacing w:val="-7"/>
          <w:szCs w:val="21"/>
        </w:rPr>
        <w:t>何未公开的信息和资料，包括但不限于技术情报、技术资料、商业秘密和商业信</w:t>
      </w:r>
      <w:r>
        <w:rPr>
          <w:rFonts w:ascii="宋体" w:hAnsi="宋体"/>
          <w:spacing w:val="-12"/>
          <w:szCs w:val="21"/>
        </w:rPr>
        <w:t>息等，并采取一切合理和必要措施和方式防止任何第三方接触到对方当事人的上</w:t>
      </w:r>
      <w:r>
        <w:rPr>
          <w:rFonts w:ascii="宋体" w:hAnsi="宋体"/>
          <w:szCs w:val="21"/>
        </w:rPr>
        <w:t>述保密信息和资料。</w:t>
      </w:r>
    </w:p>
    <w:p>
      <w:pPr>
        <w:pStyle w:val="27"/>
        <w:numPr>
          <w:ilvl w:val="1"/>
          <w:numId w:val="24"/>
        </w:numPr>
        <w:tabs>
          <w:tab w:val="left" w:pos="1142"/>
        </w:tabs>
        <w:spacing w:before="3" w:line="360" w:lineRule="auto"/>
        <w:jc w:val="both"/>
        <w:rPr>
          <w:sz w:val="21"/>
          <w:szCs w:val="21"/>
        </w:rPr>
      </w:pPr>
      <w:r>
        <w:rPr>
          <w:sz w:val="21"/>
          <w:szCs w:val="21"/>
        </w:rPr>
        <w:t>质量保证</w:t>
      </w:r>
    </w:p>
    <w:p>
      <w:pPr>
        <w:pStyle w:val="26"/>
        <w:numPr>
          <w:ilvl w:val="2"/>
          <w:numId w:val="24"/>
        </w:numPr>
        <w:tabs>
          <w:tab w:val="left" w:pos="1327"/>
        </w:tabs>
        <w:autoSpaceDE w:val="0"/>
        <w:autoSpaceDN w:val="0"/>
        <w:spacing w:before="161" w:line="360" w:lineRule="auto"/>
        <w:ind w:right="357" w:firstLine="434" w:firstLineChars="0"/>
        <w:rPr>
          <w:rFonts w:ascii="宋体" w:hAnsi="宋体"/>
          <w:szCs w:val="21"/>
        </w:rPr>
      </w:pPr>
      <w:r>
        <w:rPr>
          <w:rFonts w:ascii="宋体" w:hAnsi="宋体"/>
          <w:spacing w:val="-1"/>
          <w:szCs w:val="21"/>
        </w:rPr>
        <w:t>乙方应建立和完善履行合同的内部质量保证体系，并提供相关内部规</w:t>
      </w:r>
      <w:r>
        <w:rPr>
          <w:rFonts w:ascii="宋体" w:hAnsi="宋体"/>
          <w:szCs w:val="21"/>
        </w:rPr>
        <w:t>章制度给甲方，以便甲方进行监督检查；</w:t>
      </w:r>
    </w:p>
    <w:p>
      <w:pPr>
        <w:pStyle w:val="26"/>
        <w:numPr>
          <w:ilvl w:val="2"/>
          <w:numId w:val="24"/>
        </w:numPr>
        <w:tabs>
          <w:tab w:val="left" w:pos="1327"/>
        </w:tabs>
        <w:autoSpaceDE w:val="0"/>
        <w:autoSpaceDN w:val="0"/>
        <w:spacing w:before="1" w:line="360" w:lineRule="auto"/>
        <w:ind w:right="357" w:firstLine="434" w:firstLineChars="0"/>
        <w:rPr>
          <w:rFonts w:ascii="宋体" w:hAnsi="宋体"/>
          <w:szCs w:val="21"/>
        </w:rPr>
      </w:pPr>
      <w:r>
        <w:rPr>
          <w:rFonts w:ascii="宋体" w:hAnsi="宋体"/>
          <w:spacing w:val="-1"/>
          <w:szCs w:val="21"/>
        </w:rPr>
        <w:t>乙方应保证履行合同的人员数量和素质、软件和硬件设备的配置、场</w:t>
      </w:r>
      <w:r>
        <w:rPr>
          <w:rFonts w:ascii="宋体" w:hAnsi="宋体"/>
          <w:szCs w:val="21"/>
        </w:rPr>
        <w:t>地、环境和设施等满足全面履行合同的要求，并应接受甲方的监督检查。</w:t>
      </w:r>
    </w:p>
    <w:p>
      <w:pPr>
        <w:pStyle w:val="27"/>
        <w:numPr>
          <w:ilvl w:val="1"/>
          <w:numId w:val="24"/>
        </w:numPr>
        <w:tabs>
          <w:tab w:val="left" w:pos="1142"/>
        </w:tabs>
        <w:spacing w:before="2" w:line="360" w:lineRule="auto"/>
        <w:rPr>
          <w:sz w:val="21"/>
          <w:szCs w:val="21"/>
        </w:rPr>
      </w:pPr>
      <w:r>
        <w:rPr>
          <w:sz w:val="21"/>
          <w:szCs w:val="21"/>
        </w:rPr>
        <w:t>货物的风险负担</w:t>
      </w:r>
    </w:p>
    <w:p>
      <w:pPr>
        <w:spacing w:line="360" w:lineRule="auto"/>
        <w:rPr>
          <w:rFonts w:ascii="宋体" w:hAnsi="宋体"/>
        </w:rPr>
        <w:sectPr>
          <w:pgSz w:w="11910" w:h="16840"/>
          <w:pgMar w:top="1380" w:right="1440" w:bottom="1500" w:left="1580" w:header="877" w:footer="1304" w:gutter="0"/>
          <w:pgNumType w:fmt="decimal"/>
          <w:cols w:space="720" w:num="1"/>
        </w:sectPr>
      </w:pPr>
    </w:p>
    <w:p>
      <w:pPr>
        <w:pStyle w:val="11"/>
        <w:spacing w:before="132" w:line="360" w:lineRule="auto"/>
        <w:ind w:right="296" w:firstLine="434"/>
        <w:rPr>
          <w:sz w:val="21"/>
          <w:szCs w:val="21"/>
        </w:rPr>
      </w:pPr>
      <w:r>
        <w:rPr>
          <w:sz w:val="21"/>
          <w:szCs w:val="21"/>
        </w:rPr>
        <w:t>货物或者在途货物或者交付给第一承运人后的货物毁损、灭失的风险负担详见</w:t>
      </w:r>
      <w:r>
        <w:rPr>
          <w:b/>
          <w:i/>
          <w:sz w:val="21"/>
          <w:szCs w:val="21"/>
          <w:u w:val="single"/>
        </w:rPr>
        <w:t>合同专用条款</w:t>
      </w:r>
      <w:r>
        <w:rPr>
          <w:sz w:val="21"/>
          <w:szCs w:val="21"/>
        </w:rPr>
        <w:t>。</w:t>
      </w:r>
    </w:p>
    <w:p>
      <w:pPr>
        <w:pStyle w:val="27"/>
        <w:numPr>
          <w:ilvl w:val="1"/>
          <w:numId w:val="24"/>
        </w:numPr>
        <w:tabs>
          <w:tab w:val="left" w:pos="1262"/>
        </w:tabs>
        <w:spacing w:before="0" w:line="360" w:lineRule="auto"/>
        <w:ind w:left="1262" w:hanging="605"/>
        <w:rPr>
          <w:sz w:val="21"/>
          <w:szCs w:val="21"/>
        </w:rPr>
      </w:pPr>
      <w:r>
        <w:rPr>
          <w:sz w:val="21"/>
          <w:szCs w:val="21"/>
        </w:rPr>
        <w:t>延迟交货</w:t>
      </w:r>
    </w:p>
    <w:p>
      <w:pPr>
        <w:pStyle w:val="11"/>
        <w:spacing w:before="161" w:line="360" w:lineRule="auto"/>
        <w:ind w:right="239" w:firstLine="434"/>
        <w:rPr>
          <w:sz w:val="21"/>
          <w:szCs w:val="21"/>
        </w:rPr>
      </w:pPr>
      <w:r>
        <w:rPr>
          <w:spacing w:val="-4"/>
          <w:sz w:val="21"/>
          <w:szCs w:val="21"/>
        </w:rPr>
        <w:t>在合同履行过程中，如果乙方遇到不能按时交付货物的情况，应及时以书面</w:t>
      </w:r>
      <w:r>
        <w:rPr>
          <w:spacing w:val="-16"/>
          <w:sz w:val="21"/>
          <w:szCs w:val="21"/>
        </w:rPr>
        <w:t xml:space="preserve">形式将不能按时交付货物的理由、预期延误时间通知甲方；甲方收到乙方通知后， </w:t>
      </w:r>
      <w:r>
        <w:rPr>
          <w:sz w:val="21"/>
          <w:szCs w:val="21"/>
        </w:rPr>
        <w:t>认为其理由正当的，可以书面形式酌情同意乙方可以延长交货的具体时间。</w:t>
      </w:r>
    </w:p>
    <w:p>
      <w:pPr>
        <w:pStyle w:val="27"/>
        <w:numPr>
          <w:ilvl w:val="1"/>
          <w:numId w:val="24"/>
        </w:numPr>
        <w:tabs>
          <w:tab w:val="left" w:pos="1262"/>
        </w:tabs>
        <w:spacing w:before="2" w:line="360" w:lineRule="auto"/>
        <w:ind w:left="1262" w:hanging="605"/>
        <w:rPr>
          <w:sz w:val="21"/>
          <w:szCs w:val="21"/>
        </w:rPr>
      </w:pPr>
      <w:r>
        <w:rPr>
          <w:sz w:val="21"/>
          <w:szCs w:val="21"/>
        </w:rPr>
        <w:t>合同变更</w:t>
      </w:r>
    </w:p>
    <w:p>
      <w:pPr>
        <w:pStyle w:val="26"/>
        <w:numPr>
          <w:ilvl w:val="2"/>
          <w:numId w:val="24"/>
        </w:numPr>
        <w:tabs>
          <w:tab w:val="left" w:pos="1435"/>
        </w:tabs>
        <w:autoSpaceDE w:val="0"/>
        <w:autoSpaceDN w:val="0"/>
        <w:spacing w:before="161" w:line="360" w:lineRule="auto"/>
        <w:ind w:right="361" w:firstLine="434" w:firstLineChars="0"/>
        <w:rPr>
          <w:rFonts w:ascii="宋体" w:hAnsi="宋体"/>
          <w:szCs w:val="21"/>
        </w:rPr>
      </w:pPr>
      <w:r>
        <w:rPr>
          <w:rFonts w:ascii="宋体" w:hAnsi="宋体"/>
          <w:spacing w:val="-9"/>
          <w:szCs w:val="21"/>
        </w:rPr>
        <w:t>双方当事人协商一致，可以签订书面补充合同的形式变更合同，但不</w:t>
      </w:r>
      <w:r>
        <w:rPr>
          <w:rFonts w:ascii="宋体" w:hAnsi="宋体"/>
          <w:szCs w:val="21"/>
        </w:rPr>
        <w:t>得违背采购文件确定的事项；</w:t>
      </w:r>
    </w:p>
    <w:p>
      <w:pPr>
        <w:pStyle w:val="26"/>
        <w:numPr>
          <w:ilvl w:val="2"/>
          <w:numId w:val="24"/>
        </w:numPr>
        <w:tabs>
          <w:tab w:val="left" w:pos="1435"/>
        </w:tabs>
        <w:autoSpaceDE w:val="0"/>
        <w:autoSpaceDN w:val="0"/>
        <w:spacing w:before="1" w:line="360" w:lineRule="auto"/>
        <w:ind w:right="244" w:firstLine="434" w:firstLineChars="0"/>
        <w:rPr>
          <w:rFonts w:ascii="宋体" w:hAnsi="宋体"/>
          <w:szCs w:val="21"/>
        </w:rPr>
      </w:pPr>
      <w:r>
        <w:rPr>
          <w:rFonts w:ascii="宋体" w:hAnsi="宋体"/>
          <w:spacing w:val="-5"/>
          <w:szCs w:val="21"/>
        </w:rPr>
        <w:t>合同继续履行将损害国家利益和社会公共利益的，双方当事人应当以</w:t>
      </w:r>
      <w:r>
        <w:rPr>
          <w:rFonts w:ascii="宋体" w:hAnsi="宋体"/>
          <w:spacing w:val="-6"/>
          <w:szCs w:val="21"/>
        </w:rPr>
        <w:t xml:space="preserve">书面形式变更合同。有过错的一方应当承担赔偿责任，双方当事人都有过错的， </w:t>
      </w:r>
      <w:r>
        <w:rPr>
          <w:rFonts w:ascii="宋体" w:hAnsi="宋体"/>
          <w:szCs w:val="21"/>
        </w:rPr>
        <w:t>各自承担相应的责任。</w:t>
      </w:r>
    </w:p>
    <w:p>
      <w:pPr>
        <w:pStyle w:val="27"/>
        <w:numPr>
          <w:ilvl w:val="1"/>
          <w:numId w:val="24"/>
        </w:numPr>
        <w:tabs>
          <w:tab w:val="left" w:pos="1262"/>
        </w:tabs>
        <w:spacing w:before="2" w:line="360" w:lineRule="auto"/>
        <w:ind w:left="1262" w:hanging="605"/>
        <w:rPr>
          <w:sz w:val="21"/>
          <w:szCs w:val="21"/>
        </w:rPr>
      </w:pPr>
      <w:r>
        <w:rPr>
          <w:sz w:val="21"/>
          <w:szCs w:val="21"/>
        </w:rPr>
        <w:t>合同转让和分包</w:t>
      </w:r>
    </w:p>
    <w:p>
      <w:pPr>
        <w:pStyle w:val="11"/>
        <w:spacing w:before="160" w:line="360" w:lineRule="auto"/>
        <w:ind w:right="356" w:firstLine="434"/>
        <w:jc w:val="both"/>
        <w:rPr>
          <w:sz w:val="21"/>
          <w:szCs w:val="21"/>
        </w:rPr>
      </w:pPr>
      <w:r>
        <w:rPr>
          <w:spacing w:val="-5"/>
          <w:sz w:val="21"/>
          <w:szCs w:val="21"/>
        </w:rPr>
        <w:t>合同的权利义务依法不得转让，但经甲方同意，乙方可以依法采取分包方式</w:t>
      </w:r>
      <w:r>
        <w:rPr>
          <w:spacing w:val="-11"/>
          <w:sz w:val="21"/>
          <w:szCs w:val="21"/>
        </w:rPr>
        <w:t>履行合同，即：依法可以将合同项下的部分非主体、非关键性工作分包给他人完</w:t>
      </w:r>
      <w:r>
        <w:rPr>
          <w:spacing w:val="-10"/>
          <w:sz w:val="21"/>
          <w:szCs w:val="21"/>
        </w:rPr>
        <w:t>成，接受分包的人应当具备相应的资格条件，并不得再次分包，且乙方应就分包</w:t>
      </w:r>
      <w:r>
        <w:rPr>
          <w:sz w:val="21"/>
          <w:szCs w:val="21"/>
        </w:rPr>
        <w:t>项目向甲方负责，并与分包供应商就分包项目向甲方承担连带责任。</w:t>
      </w:r>
    </w:p>
    <w:p>
      <w:pPr>
        <w:pStyle w:val="27"/>
        <w:numPr>
          <w:ilvl w:val="1"/>
          <w:numId w:val="24"/>
        </w:numPr>
        <w:tabs>
          <w:tab w:val="left" w:pos="1262"/>
        </w:tabs>
        <w:spacing w:before="3" w:line="360" w:lineRule="auto"/>
        <w:ind w:left="1262" w:hanging="605"/>
        <w:jc w:val="both"/>
        <w:rPr>
          <w:sz w:val="21"/>
          <w:szCs w:val="21"/>
        </w:rPr>
      </w:pPr>
      <w:r>
        <w:rPr>
          <w:sz w:val="21"/>
          <w:szCs w:val="21"/>
        </w:rPr>
        <w:t>不可抗力</w:t>
      </w:r>
    </w:p>
    <w:p>
      <w:pPr>
        <w:pStyle w:val="26"/>
        <w:numPr>
          <w:ilvl w:val="2"/>
          <w:numId w:val="24"/>
        </w:numPr>
        <w:tabs>
          <w:tab w:val="left" w:pos="1435"/>
        </w:tabs>
        <w:autoSpaceDE w:val="0"/>
        <w:autoSpaceDN w:val="0"/>
        <w:spacing w:before="161" w:line="360" w:lineRule="auto"/>
        <w:ind w:right="361" w:firstLine="434" w:firstLineChars="0"/>
        <w:rPr>
          <w:rFonts w:ascii="宋体" w:hAnsi="宋体"/>
          <w:szCs w:val="21"/>
        </w:rPr>
      </w:pPr>
      <w:r>
        <w:rPr>
          <w:rFonts w:ascii="宋体" w:hAnsi="宋体"/>
          <w:spacing w:val="-7"/>
          <w:szCs w:val="21"/>
        </w:rPr>
        <w:t>如果任何一方遭遇法律规定的不可抗力，致使合同履行受阻时，履行</w:t>
      </w:r>
      <w:r>
        <w:rPr>
          <w:rFonts w:ascii="宋体" w:hAnsi="宋体"/>
          <w:szCs w:val="21"/>
        </w:rPr>
        <w:t>合同的期限应予延长，延长的期限应相当于不可抗力所影响的时间；</w:t>
      </w:r>
    </w:p>
    <w:p>
      <w:pPr>
        <w:pStyle w:val="26"/>
        <w:numPr>
          <w:ilvl w:val="2"/>
          <w:numId w:val="24"/>
        </w:numPr>
        <w:tabs>
          <w:tab w:val="left" w:pos="1435"/>
        </w:tabs>
        <w:autoSpaceDE w:val="0"/>
        <w:autoSpaceDN w:val="0"/>
        <w:spacing w:before="1" w:line="360" w:lineRule="auto"/>
        <w:ind w:left="1434" w:hanging="781" w:firstLineChars="0"/>
        <w:rPr>
          <w:rFonts w:ascii="宋体" w:hAnsi="宋体"/>
          <w:szCs w:val="21"/>
        </w:rPr>
      </w:pPr>
      <w:r>
        <w:rPr>
          <w:rFonts w:ascii="宋体" w:hAnsi="宋体"/>
          <w:szCs w:val="21"/>
        </w:rPr>
        <w:t>因不可抗力致使不能实现合同目的的，当事人可以解除合同；</w:t>
      </w:r>
    </w:p>
    <w:p>
      <w:pPr>
        <w:pStyle w:val="26"/>
        <w:numPr>
          <w:ilvl w:val="2"/>
          <w:numId w:val="24"/>
        </w:numPr>
        <w:tabs>
          <w:tab w:val="left" w:pos="1435"/>
        </w:tabs>
        <w:autoSpaceDE w:val="0"/>
        <w:autoSpaceDN w:val="0"/>
        <w:spacing w:before="151" w:line="360" w:lineRule="auto"/>
        <w:ind w:right="356" w:firstLine="434" w:firstLineChars="0"/>
        <w:rPr>
          <w:rFonts w:ascii="宋体" w:hAnsi="宋体"/>
          <w:szCs w:val="21"/>
        </w:rPr>
      </w:pPr>
      <w:r>
        <w:rPr>
          <w:rFonts w:ascii="宋体" w:hAnsi="宋体"/>
          <w:spacing w:val="-8"/>
          <w:w w:val="95"/>
          <w:szCs w:val="21"/>
        </w:rPr>
        <w:t>因不可抗力致使合同有变更必要的，双方当事人应在</w:t>
      </w:r>
      <w:r>
        <w:rPr>
          <w:rFonts w:ascii="宋体" w:hAnsi="宋体"/>
          <w:b/>
          <w:i/>
          <w:w w:val="95"/>
          <w:szCs w:val="21"/>
          <w:u w:val="single"/>
        </w:rPr>
        <w:t>合同专用条款</w:t>
      </w:r>
      <w:r>
        <w:rPr>
          <w:rFonts w:ascii="宋体" w:hAnsi="宋体"/>
          <w:spacing w:val="-16"/>
          <w:w w:val="95"/>
          <w:szCs w:val="21"/>
        </w:rPr>
        <w:t xml:space="preserve">约 </w:t>
      </w:r>
      <w:r>
        <w:rPr>
          <w:rFonts w:ascii="宋体" w:hAnsi="宋体"/>
          <w:szCs w:val="21"/>
        </w:rPr>
        <w:t>定时间内以书面形式变更合同；</w:t>
      </w:r>
    </w:p>
    <w:p>
      <w:pPr>
        <w:pStyle w:val="26"/>
        <w:numPr>
          <w:ilvl w:val="2"/>
          <w:numId w:val="24"/>
        </w:numPr>
        <w:tabs>
          <w:tab w:val="left" w:pos="1435"/>
        </w:tabs>
        <w:autoSpaceDE w:val="0"/>
        <w:autoSpaceDN w:val="0"/>
        <w:spacing w:line="360" w:lineRule="auto"/>
        <w:ind w:right="356" w:firstLine="434" w:firstLineChars="0"/>
        <w:rPr>
          <w:rFonts w:ascii="宋体" w:hAnsi="宋体"/>
          <w:szCs w:val="21"/>
        </w:rPr>
      </w:pPr>
      <w:r>
        <w:rPr>
          <w:rFonts w:ascii="宋体" w:hAnsi="宋体"/>
          <w:spacing w:val="-7"/>
          <w:w w:val="95"/>
          <w:szCs w:val="21"/>
        </w:rPr>
        <w:t>受不可抗力影响的一方在不可抗力发生后，应在</w:t>
      </w:r>
      <w:r>
        <w:rPr>
          <w:rFonts w:ascii="宋体" w:hAnsi="宋体"/>
          <w:b/>
          <w:i/>
          <w:w w:val="95"/>
          <w:szCs w:val="21"/>
          <w:u w:val="single"/>
        </w:rPr>
        <w:t>合同专用条款</w:t>
      </w:r>
      <w:r>
        <w:rPr>
          <w:rFonts w:ascii="宋体" w:hAnsi="宋体"/>
          <w:spacing w:val="-5"/>
          <w:w w:val="95"/>
          <w:szCs w:val="21"/>
        </w:rPr>
        <w:t xml:space="preserve">约定时 </w:t>
      </w:r>
      <w:r>
        <w:rPr>
          <w:rFonts w:ascii="宋体" w:hAnsi="宋体"/>
          <w:spacing w:val="-4"/>
          <w:w w:val="95"/>
          <w:szCs w:val="21"/>
        </w:rPr>
        <w:t>间内以书面形式通知对方当事人，并在</w:t>
      </w:r>
      <w:r>
        <w:rPr>
          <w:rFonts w:ascii="宋体" w:hAnsi="宋体"/>
          <w:b/>
          <w:i/>
          <w:w w:val="95"/>
          <w:szCs w:val="21"/>
          <w:u w:val="single"/>
        </w:rPr>
        <w:t>合同专用条款</w:t>
      </w:r>
      <w:r>
        <w:rPr>
          <w:rFonts w:ascii="宋体" w:hAnsi="宋体"/>
          <w:spacing w:val="-9"/>
          <w:w w:val="95"/>
          <w:szCs w:val="21"/>
        </w:rPr>
        <w:t xml:space="preserve">约定时间内，将有关部门出  </w:t>
      </w:r>
      <w:r>
        <w:rPr>
          <w:rFonts w:ascii="宋体" w:hAnsi="宋体"/>
          <w:szCs w:val="21"/>
        </w:rPr>
        <w:t>具的证明文件送达对方当事人。</w:t>
      </w:r>
    </w:p>
    <w:p>
      <w:pPr>
        <w:pStyle w:val="27"/>
        <w:numPr>
          <w:ilvl w:val="1"/>
          <w:numId w:val="24"/>
        </w:numPr>
        <w:tabs>
          <w:tab w:val="left" w:pos="1262"/>
        </w:tabs>
        <w:spacing w:before="11" w:line="360" w:lineRule="auto"/>
        <w:ind w:left="1262" w:hanging="605"/>
        <w:jc w:val="both"/>
        <w:rPr>
          <w:sz w:val="21"/>
          <w:szCs w:val="21"/>
        </w:rPr>
      </w:pPr>
      <w:r>
        <w:rPr>
          <w:sz w:val="21"/>
          <w:szCs w:val="21"/>
        </w:rPr>
        <w:t>税费</w:t>
      </w:r>
    </w:p>
    <w:p>
      <w:pPr>
        <w:pStyle w:val="11"/>
        <w:spacing w:before="161" w:line="360" w:lineRule="auto"/>
        <w:ind w:left="654"/>
        <w:rPr>
          <w:sz w:val="21"/>
          <w:szCs w:val="21"/>
        </w:rPr>
      </w:pPr>
      <w:r>
        <w:rPr>
          <w:sz w:val="21"/>
          <w:szCs w:val="21"/>
        </w:rPr>
        <w:t>与合同有关的一切税费，均按照中华人民共和国法律的相关规定缴纳。</w:t>
      </w:r>
    </w:p>
    <w:p>
      <w:pPr>
        <w:pStyle w:val="27"/>
        <w:numPr>
          <w:ilvl w:val="1"/>
          <w:numId w:val="24"/>
        </w:numPr>
        <w:tabs>
          <w:tab w:val="left" w:pos="1262"/>
        </w:tabs>
        <w:spacing w:before="161" w:line="360" w:lineRule="auto"/>
        <w:ind w:left="1262" w:hanging="605"/>
        <w:jc w:val="both"/>
        <w:rPr>
          <w:sz w:val="21"/>
          <w:szCs w:val="21"/>
        </w:rPr>
      </w:pPr>
      <w:r>
        <w:rPr>
          <w:sz w:val="21"/>
          <w:szCs w:val="21"/>
        </w:rPr>
        <w:t>乙方破产</w:t>
      </w:r>
    </w:p>
    <w:p>
      <w:pPr>
        <w:spacing w:line="360" w:lineRule="auto"/>
        <w:rPr>
          <w:rFonts w:ascii="宋体" w:hAnsi="宋体"/>
        </w:rPr>
        <w:sectPr>
          <w:pgSz w:w="11910" w:h="16840"/>
          <w:pgMar w:top="1380" w:right="1440" w:bottom="1500" w:left="1580" w:header="877" w:footer="1304" w:gutter="0"/>
          <w:pgNumType w:fmt="decimal"/>
          <w:cols w:space="720" w:num="1"/>
        </w:sectPr>
      </w:pPr>
    </w:p>
    <w:p>
      <w:pPr>
        <w:pStyle w:val="11"/>
        <w:spacing w:before="132" w:line="360" w:lineRule="auto"/>
        <w:ind w:right="358" w:firstLine="434"/>
        <w:jc w:val="both"/>
        <w:rPr>
          <w:sz w:val="21"/>
          <w:szCs w:val="21"/>
        </w:rPr>
      </w:pPr>
      <w:r>
        <w:rPr>
          <w:spacing w:val="-4"/>
          <w:sz w:val="21"/>
          <w:szCs w:val="21"/>
        </w:rPr>
        <w:t>如果乙方破产导致合同无法履行时，甲方可以书面形式通知乙方终止合同且</w:t>
      </w:r>
      <w:r>
        <w:rPr>
          <w:spacing w:val="-9"/>
          <w:sz w:val="21"/>
          <w:szCs w:val="21"/>
        </w:rPr>
        <w:t>不给予乙方任何补偿和赔偿，但合同的终止不损害或不影响甲方已经采取或将要</w:t>
      </w:r>
      <w:r>
        <w:rPr>
          <w:sz w:val="21"/>
          <w:szCs w:val="21"/>
        </w:rPr>
        <w:t>采取的任何要求乙方支付违约金、赔偿损失等的行动或补救措施的权利。</w:t>
      </w:r>
    </w:p>
    <w:p>
      <w:pPr>
        <w:pStyle w:val="27"/>
        <w:numPr>
          <w:ilvl w:val="1"/>
          <w:numId w:val="24"/>
        </w:numPr>
        <w:tabs>
          <w:tab w:val="left" w:pos="1262"/>
        </w:tabs>
        <w:spacing w:before="2" w:line="360" w:lineRule="auto"/>
        <w:ind w:left="1262" w:hanging="605"/>
        <w:jc w:val="both"/>
        <w:rPr>
          <w:sz w:val="21"/>
          <w:szCs w:val="21"/>
        </w:rPr>
      </w:pPr>
      <w:r>
        <w:rPr>
          <w:sz w:val="21"/>
          <w:szCs w:val="21"/>
        </w:rPr>
        <w:t>合同中止、终止</w:t>
      </w:r>
    </w:p>
    <w:p>
      <w:pPr>
        <w:pStyle w:val="26"/>
        <w:numPr>
          <w:ilvl w:val="2"/>
          <w:numId w:val="24"/>
        </w:numPr>
        <w:tabs>
          <w:tab w:val="left" w:pos="1435"/>
        </w:tabs>
        <w:autoSpaceDE w:val="0"/>
        <w:autoSpaceDN w:val="0"/>
        <w:spacing w:before="160" w:line="360" w:lineRule="auto"/>
        <w:ind w:left="1434" w:hanging="781" w:firstLineChars="0"/>
        <w:rPr>
          <w:rFonts w:ascii="宋体" w:hAnsi="宋体"/>
          <w:szCs w:val="21"/>
        </w:rPr>
      </w:pPr>
      <w:r>
        <w:rPr>
          <w:rFonts w:ascii="宋体" w:hAnsi="宋体"/>
          <w:szCs w:val="21"/>
        </w:rPr>
        <w:t>双方当事人不得擅自中止或者终止合同；</w:t>
      </w:r>
    </w:p>
    <w:p>
      <w:pPr>
        <w:pStyle w:val="26"/>
        <w:numPr>
          <w:ilvl w:val="2"/>
          <w:numId w:val="24"/>
        </w:numPr>
        <w:tabs>
          <w:tab w:val="left" w:pos="1435"/>
        </w:tabs>
        <w:autoSpaceDE w:val="0"/>
        <w:autoSpaceDN w:val="0"/>
        <w:spacing w:before="161" w:line="360" w:lineRule="auto"/>
        <w:ind w:right="357" w:firstLine="434" w:firstLineChars="0"/>
        <w:rPr>
          <w:rFonts w:ascii="宋体" w:hAnsi="宋体"/>
          <w:szCs w:val="21"/>
        </w:rPr>
      </w:pPr>
      <w:r>
        <w:rPr>
          <w:rFonts w:ascii="宋体" w:hAnsi="宋体"/>
          <w:spacing w:val="-6"/>
          <w:szCs w:val="21"/>
        </w:rPr>
        <w:t>合同继续履行将损害国家利益和社会公共利益的，双方当事人应当中</w:t>
      </w:r>
      <w:r>
        <w:rPr>
          <w:rFonts w:ascii="宋体" w:hAnsi="宋体"/>
          <w:spacing w:val="-8"/>
          <w:szCs w:val="21"/>
        </w:rPr>
        <w:t>止或者终止合同。有过错的一方应当承担赔偿责任，双方当事人都有过错的，各</w:t>
      </w:r>
      <w:r>
        <w:rPr>
          <w:rFonts w:ascii="宋体" w:hAnsi="宋体"/>
          <w:szCs w:val="21"/>
        </w:rPr>
        <w:t>自承担相应的责任。</w:t>
      </w:r>
    </w:p>
    <w:p>
      <w:pPr>
        <w:pStyle w:val="27"/>
        <w:numPr>
          <w:ilvl w:val="1"/>
          <w:numId w:val="24"/>
        </w:numPr>
        <w:tabs>
          <w:tab w:val="left" w:pos="1262"/>
        </w:tabs>
        <w:spacing w:before="2" w:line="360" w:lineRule="auto"/>
        <w:ind w:left="1262" w:hanging="605"/>
        <w:jc w:val="both"/>
        <w:rPr>
          <w:sz w:val="21"/>
          <w:szCs w:val="21"/>
        </w:rPr>
      </w:pPr>
      <w:r>
        <w:rPr>
          <w:sz w:val="21"/>
          <w:szCs w:val="21"/>
        </w:rPr>
        <w:t>检验和验收</w:t>
      </w:r>
    </w:p>
    <w:p>
      <w:pPr>
        <w:pStyle w:val="26"/>
        <w:numPr>
          <w:ilvl w:val="2"/>
          <w:numId w:val="24"/>
        </w:numPr>
        <w:tabs>
          <w:tab w:val="left" w:pos="1435"/>
        </w:tabs>
        <w:autoSpaceDE w:val="0"/>
        <w:autoSpaceDN w:val="0"/>
        <w:spacing w:before="161" w:line="360" w:lineRule="auto"/>
        <w:ind w:right="354" w:firstLine="434" w:firstLineChars="0"/>
        <w:rPr>
          <w:rFonts w:ascii="宋体" w:hAnsi="宋体"/>
          <w:szCs w:val="21"/>
        </w:rPr>
      </w:pPr>
      <w:r>
        <w:rPr>
          <w:rFonts w:ascii="宋体" w:hAnsi="宋体"/>
          <w:spacing w:val="-11"/>
          <w:szCs w:val="21"/>
        </w:rPr>
        <w:t>货物交付前，乙方应对货物的质量、数量等方面进行详细、全面的检</w:t>
      </w:r>
      <w:r>
        <w:rPr>
          <w:rFonts w:ascii="宋体" w:hAnsi="宋体"/>
          <w:spacing w:val="-9"/>
          <w:w w:val="95"/>
          <w:szCs w:val="21"/>
        </w:rPr>
        <w:t>验，并向甲方出具证明货物符合合同约定的文件；货物交付时，乙方在</w:t>
      </w:r>
      <w:r>
        <w:rPr>
          <w:rFonts w:ascii="宋体" w:hAnsi="宋体"/>
          <w:b/>
          <w:i/>
          <w:spacing w:val="-4"/>
          <w:w w:val="95"/>
          <w:szCs w:val="21"/>
          <w:u w:val="single"/>
        </w:rPr>
        <w:t xml:space="preserve">合同专用  </w:t>
      </w:r>
      <w:r>
        <w:rPr>
          <w:rFonts w:ascii="宋体" w:hAnsi="宋体"/>
          <w:b/>
          <w:i/>
          <w:szCs w:val="21"/>
          <w:u w:val="single"/>
        </w:rPr>
        <w:t>条款</w:t>
      </w:r>
      <w:r>
        <w:rPr>
          <w:rFonts w:ascii="宋体" w:hAnsi="宋体"/>
          <w:spacing w:val="-1"/>
          <w:szCs w:val="21"/>
        </w:rPr>
        <w:t>约定时间内组织验收，并可依法邀请相关方参加，验收应出具验收书。</w:t>
      </w:r>
    </w:p>
    <w:p>
      <w:pPr>
        <w:pStyle w:val="26"/>
        <w:numPr>
          <w:ilvl w:val="2"/>
          <w:numId w:val="24"/>
        </w:numPr>
        <w:tabs>
          <w:tab w:val="left" w:pos="1435"/>
        </w:tabs>
        <w:autoSpaceDE w:val="0"/>
        <w:autoSpaceDN w:val="0"/>
        <w:spacing w:line="360" w:lineRule="auto"/>
        <w:ind w:right="242" w:firstLine="434" w:firstLineChars="0"/>
        <w:rPr>
          <w:rFonts w:ascii="宋体" w:hAnsi="宋体"/>
          <w:szCs w:val="21"/>
        </w:rPr>
      </w:pPr>
      <w:r>
        <w:rPr>
          <w:rFonts w:ascii="宋体" w:hAnsi="宋体"/>
          <w:spacing w:val="-8"/>
          <w:szCs w:val="21"/>
        </w:rPr>
        <w:t>合同期满或者履行完毕后，甲方有权组织</w:t>
      </w:r>
      <w:r>
        <w:rPr>
          <w:rFonts w:ascii="宋体" w:hAnsi="宋体"/>
          <w:szCs w:val="21"/>
        </w:rPr>
        <w:t>（包括依法邀请国家认可的质量检测机构参加</w:t>
      </w:r>
      <w:r>
        <w:rPr>
          <w:rFonts w:ascii="宋体" w:hAnsi="宋体"/>
          <w:spacing w:val="-20"/>
          <w:szCs w:val="21"/>
        </w:rPr>
        <w:t>）</w:t>
      </w:r>
      <w:r>
        <w:rPr>
          <w:rFonts w:ascii="宋体" w:hAnsi="宋体"/>
          <w:spacing w:val="-7"/>
          <w:szCs w:val="21"/>
        </w:rPr>
        <w:t>对乙方履约的验收，即：按照合同约定的技术、服务、安全</w:t>
      </w:r>
      <w:r>
        <w:rPr>
          <w:rFonts w:ascii="宋体" w:hAnsi="宋体"/>
          <w:spacing w:val="-8"/>
          <w:szCs w:val="21"/>
        </w:rPr>
        <w:t>标准，组织对每一项技术、服务、安全标准的履约情况的验收，并出具验收书。</w:t>
      </w:r>
    </w:p>
    <w:p>
      <w:pPr>
        <w:pStyle w:val="26"/>
        <w:numPr>
          <w:ilvl w:val="2"/>
          <w:numId w:val="24"/>
        </w:numPr>
        <w:tabs>
          <w:tab w:val="left" w:pos="1435"/>
        </w:tabs>
        <w:autoSpaceDE w:val="0"/>
        <w:autoSpaceDN w:val="0"/>
        <w:spacing w:line="360" w:lineRule="auto"/>
        <w:ind w:right="358" w:firstLine="434" w:firstLineChars="0"/>
        <w:rPr>
          <w:rFonts w:ascii="宋体" w:hAnsi="宋体"/>
          <w:i/>
          <w:szCs w:val="21"/>
        </w:rPr>
      </w:pPr>
      <w:r>
        <w:rPr>
          <w:rFonts w:ascii="宋体" w:hAnsi="宋体"/>
          <w:spacing w:val="-11"/>
          <w:w w:val="95"/>
          <w:szCs w:val="21"/>
        </w:rPr>
        <w:t>检验和验收标准、程序等具体内容以及前述验收书的效力详见</w:t>
      </w:r>
      <w:r>
        <w:rPr>
          <w:rFonts w:ascii="宋体" w:hAnsi="宋体"/>
          <w:b/>
          <w:i/>
          <w:spacing w:val="-6"/>
          <w:w w:val="95"/>
          <w:szCs w:val="21"/>
          <w:u w:val="single"/>
        </w:rPr>
        <w:t xml:space="preserve">合同专  </w:t>
      </w:r>
      <w:r>
        <w:rPr>
          <w:rFonts w:ascii="宋体" w:hAnsi="宋体"/>
          <w:b/>
          <w:i/>
          <w:szCs w:val="21"/>
          <w:u w:val="single"/>
        </w:rPr>
        <w:t>用条款</w:t>
      </w:r>
      <w:r>
        <w:rPr>
          <w:rFonts w:ascii="宋体" w:hAnsi="宋体"/>
          <w:i/>
          <w:szCs w:val="21"/>
        </w:rPr>
        <w:t>。</w:t>
      </w:r>
    </w:p>
    <w:p>
      <w:pPr>
        <w:pStyle w:val="27"/>
        <w:numPr>
          <w:ilvl w:val="1"/>
          <w:numId w:val="24"/>
        </w:numPr>
        <w:tabs>
          <w:tab w:val="left" w:pos="1262"/>
        </w:tabs>
        <w:spacing w:before="3" w:line="360" w:lineRule="auto"/>
        <w:ind w:left="1262" w:hanging="605"/>
        <w:jc w:val="both"/>
        <w:rPr>
          <w:sz w:val="21"/>
          <w:szCs w:val="21"/>
        </w:rPr>
      </w:pPr>
      <w:r>
        <w:rPr>
          <w:sz w:val="21"/>
          <w:szCs w:val="21"/>
        </w:rPr>
        <w:t>计量单位</w:t>
      </w:r>
    </w:p>
    <w:p>
      <w:pPr>
        <w:pStyle w:val="11"/>
        <w:spacing w:before="161" w:line="360" w:lineRule="auto"/>
        <w:ind w:left="654"/>
        <w:rPr>
          <w:sz w:val="21"/>
          <w:szCs w:val="21"/>
        </w:rPr>
      </w:pPr>
      <w:r>
        <w:rPr>
          <w:sz w:val="21"/>
          <w:szCs w:val="21"/>
        </w:rPr>
        <w:t>除技术规范中另有规定外,合同的计量单位均使用国家法定计量单位。</w:t>
      </w:r>
    </w:p>
    <w:p>
      <w:pPr>
        <w:pStyle w:val="27"/>
        <w:numPr>
          <w:ilvl w:val="1"/>
          <w:numId w:val="24"/>
        </w:numPr>
        <w:tabs>
          <w:tab w:val="left" w:pos="1262"/>
        </w:tabs>
        <w:spacing w:before="160" w:line="360" w:lineRule="auto"/>
        <w:ind w:left="1262" w:hanging="605"/>
        <w:jc w:val="both"/>
        <w:rPr>
          <w:sz w:val="21"/>
          <w:szCs w:val="21"/>
        </w:rPr>
      </w:pPr>
      <w:r>
        <w:rPr>
          <w:sz w:val="21"/>
          <w:szCs w:val="21"/>
        </w:rPr>
        <w:t>合同使用的文字和适用的法律</w:t>
      </w:r>
    </w:p>
    <w:p>
      <w:pPr>
        <w:pStyle w:val="26"/>
        <w:numPr>
          <w:ilvl w:val="2"/>
          <w:numId w:val="24"/>
        </w:numPr>
        <w:tabs>
          <w:tab w:val="left" w:pos="1435"/>
        </w:tabs>
        <w:autoSpaceDE w:val="0"/>
        <w:autoSpaceDN w:val="0"/>
        <w:spacing w:before="161" w:line="360" w:lineRule="auto"/>
        <w:ind w:left="1434" w:hanging="781" w:firstLineChars="0"/>
        <w:rPr>
          <w:rFonts w:ascii="宋体" w:hAnsi="宋体"/>
          <w:szCs w:val="21"/>
        </w:rPr>
      </w:pPr>
      <w:r>
        <w:rPr>
          <w:rFonts w:ascii="宋体" w:hAnsi="宋体"/>
          <w:szCs w:val="21"/>
        </w:rPr>
        <w:t>合同使用汉语书就、变更和解释；</w:t>
      </w:r>
    </w:p>
    <w:p>
      <w:pPr>
        <w:pStyle w:val="26"/>
        <w:numPr>
          <w:ilvl w:val="2"/>
          <w:numId w:val="24"/>
        </w:numPr>
        <w:tabs>
          <w:tab w:val="left" w:pos="1435"/>
        </w:tabs>
        <w:autoSpaceDE w:val="0"/>
        <w:autoSpaceDN w:val="0"/>
        <w:spacing w:before="161" w:line="360" w:lineRule="auto"/>
        <w:ind w:left="1434" w:hanging="781" w:firstLineChars="0"/>
        <w:rPr>
          <w:rFonts w:ascii="宋体" w:hAnsi="宋体"/>
          <w:szCs w:val="21"/>
        </w:rPr>
      </w:pPr>
      <w:r>
        <w:rPr>
          <w:rFonts w:ascii="宋体" w:hAnsi="宋体"/>
          <w:szCs w:val="21"/>
        </w:rPr>
        <w:t>合同适用中华人民共和国法律。</w:t>
      </w:r>
    </w:p>
    <w:p>
      <w:pPr>
        <w:pStyle w:val="27"/>
        <w:numPr>
          <w:ilvl w:val="1"/>
          <w:numId w:val="24"/>
        </w:numPr>
        <w:tabs>
          <w:tab w:val="left" w:pos="1262"/>
        </w:tabs>
        <w:spacing w:before="160" w:line="360" w:lineRule="auto"/>
        <w:ind w:left="1262" w:hanging="605"/>
        <w:rPr>
          <w:sz w:val="21"/>
          <w:szCs w:val="21"/>
        </w:rPr>
      </w:pPr>
      <w:r>
        <w:rPr>
          <w:sz w:val="21"/>
          <w:szCs w:val="21"/>
        </w:rPr>
        <w:t>履约保证金</w:t>
      </w:r>
    </w:p>
    <w:p>
      <w:pPr>
        <w:pStyle w:val="26"/>
        <w:numPr>
          <w:ilvl w:val="2"/>
          <w:numId w:val="24"/>
        </w:numPr>
        <w:tabs>
          <w:tab w:val="left" w:pos="1435"/>
        </w:tabs>
        <w:autoSpaceDE w:val="0"/>
        <w:autoSpaceDN w:val="0"/>
        <w:spacing w:before="151" w:line="360" w:lineRule="auto"/>
        <w:ind w:right="244" w:firstLine="434" w:firstLineChars="0"/>
        <w:rPr>
          <w:rFonts w:ascii="宋体" w:hAnsi="宋体"/>
          <w:szCs w:val="21"/>
        </w:rPr>
      </w:pPr>
      <w:r>
        <w:rPr>
          <w:rFonts w:ascii="宋体" w:hAnsi="宋体"/>
          <w:spacing w:val="-7"/>
          <w:szCs w:val="21"/>
        </w:rPr>
        <w:t>采购文件要求乙方提交履约保证金的，乙方应按</w:t>
      </w:r>
      <w:r>
        <w:rPr>
          <w:rFonts w:ascii="宋体" w:hAnsi="宋体"/>
          <w:b/>
          <w:i/>
          <w:szCs w:val="21"/>
          <w:u w:val="single"/>
        </w:rPr>
        <w:t>合同专用条款</w:t>
      </w:r>
      <w:r>
        <w:rPr>
          <w:rFonts w:ascii="宋体" w:hAnsi="宋体"/>
          <w:szCs w:val="21"/>
        </w:rPr>
        <w:t>约定的</w:t>
      </w:r>
      <w:r>
        <w:rPr>
          <w:rFonts w:ascii="宋体" w:hAnsi="宋体"/>
          <w:spacing w:val="-1"/>
          <w:szCs w:val="21"/>
        </w:rPr>
        <w:t xml:space="preserve">方式，以支票、汇票、本票或者金融机构、担保机构出具的保函等非现金形式， </w:t>
      </w:r>
      <w:r>
        <w:rPr>
          <w:rFonts w:ascii="宋体" w:hAnsi="宋体"/>
          <w:spacing w:val="-7"/>
          <w:szCs w:val="21"/>
        </w:rPr>
        <w:t xml:space="preserve">提交不超过合同价 </w:t>
      </w:r>
      <w:r>
        <w:rPr>
          <w:rFonts w:ascii="宋体" w:hAnsi="宋体"/>
          <w:szCs w:val="21"/>
        </w:rPr>
        <w:t>10%的履约保证金；</w:t>
      </w:r>
    </w:p>
    <w:p>
      <w:pPr>
        <w:pStyle w:val="26"/>
        <w:numPr>
          <w:ilvl w:val="2"/>
          <w:numId w:val="24"/>
        </w:numPr>
        <w:tabs>
          <w:tab w:val="left" w:pos="1498"/>
        </w:tabs>
        <w:autoSpaceDE w:val="0"/>
        <w:autoSpaceDN w:val="0"/>
        <w:spacing w:line="360" w:lineRule="auto"/>
        <w:ind w:right="356" w:firstLine="434" w:firstLineChars="0"/>
        <w:rPr>
          <w:rFonts w:ascii="宋体" w:hAnsi="宋体"/>
          <w:szCs w:val="21"/>
        </w:rPr>
      </w:pPr>
      <w:r>
        <w:rPr>
          <w:rFonts w:ascii="宋体" w:hAnsi="宋体"/>
          <w:w w:val="95"/>
          <w:szCs w:val="21"/>
        </w:rPr>
        <w:t>履约保证金在</w:t>
      </w:r>
      <w:r>
        <w:rPr>
          <w:rFonts w:ascii="宋体" w:hAnsi="宋体"/>
          <w:b/>
          <w:i/>
          <w:spacing w:val="1"/>
          <w:w w:val="95"/>
          <w:szCs w:val="21"/>
          <w:u w:val="single"/>
        </w:rPr>
        <w:t>合同专用条款</w:t>
      </w:r>
      <w:r>
        <w:rPr>
          <w:rFonts w:ascii="宋体" w:hAnsi="宋体"/>
          <w:w w:val="95"/>
          <w:szCs w:val="21"/>
        </w:rPr>
        <w:t xml:space="preserve">约定期间内或者货物质量保证期内不予 </w:t>
      </w:r>
      <w:r>
        <w:rPr>
          <w:rFonts w:ascii="宋体" w:hAnsi="宋体"/>
          <w:spacing w:val="-10"/>
          <w:szCs w:val="21"/>
        </w:rPr>
        <w:t>退还或者应完全有效，前述约定期间届满或者货物质量保证期届满之日起</w:t>
      </w:r>
      <w:r>
        <w:rPr>
          <w:rFonts w:ascii="宋体" w:hAnsi="宋体"/>
          <w:spacing w:val="-6"/>
          <w:szCs w:val="21"/>
          <w:u w:val="single"/>
        </w:rPr>
        <w:t xml:space="preserve"> </w:t>
      </w:r>
      <w:r>
        <w:rPr>
          <w:rFonts w:hint="eastAsia" w:ascii="宋体" w:hAnsi="宋体"/>
          <w:spacing w:val="-6"/>
          <w:szCs w:val="21"/>
          <w:u w:val="single"/>
        </w:rPr>
        <w:t xml:space="preserve">  </w:t>
      </w:r>
      <w:r>
        <w:rPr>
          <w:rFonts w:ascii="宋体" w:hAnsi="宋体"/>
          <w:spacing w:val="-6"/>
          <w:szCs w:val="21"/>
        </w:rPr>
        <w:t>个工</w:t>
      </w:r>
      <w:r>
        <w:rPr>
          <w:rFonts w:ascii="宋体" w:hAnsi="宋体"/>
          <w:szCs w:val="21"/>
        </w:rPr>
        <w:t>作日内，甲方应将履约保证金退还乙方；</w:t>
      </w:r>
    </w:p>
    <w:p>
      <w:pPr>
        <w:spacing w:line="360" w:lineRule="auto"/>
        <w:rPr>
          <w:rFonts w:ascii="宋体" w:hAnsi="宋体"/>
        </w:rPr>
        <w:sectPr>
          <w:pgSz w:w="11910" w:h="16840"/>
          <w:pgMar w:top="1380" w:right="1440" w:bottom="1500" w:left="1580" w:header="877" w:footer="1304" w:gutter="0"/>
          <w:pgNumType w:fmt="decimal"/>
          <w:cols w:space="720" w:num="1"/>
        </w:sectPr>
      </w:pPr>
    </w:p>
    <w:p>
      <w:pPr>
        <w:pStyle w:val="26"/>
        <w:numPr>
          <w:ilvl w:val="2"/>
          <w:numId w:val="24"/>
        </w:numPr>
        <w:tabs>
          <w:tab w:val="left" w:pos="1435"/>
        </w:tabs>
        <w:autoSpaceDE w:val="0"/>
        <w:autoSpaceDN w:val="0"/>
        <w:spacing w:before="132" w:line="360" w:lineRule="auto"/>
        <w:ind w:right="358" w:firstLine="434" w:firstLineChars="0"/>
        <w:rPr>
          <w:rFonts w:ascii="宋体" w:hAnsi="宋体"/>
          <w:szCs w:val="21"/>
        </w:rPr>
      </w:pPr>
      <w:r>
        <w:rPr>
          <w:rFonts w:ascii="宋体" w:hAnsi="宋体"/>
          <w:spacing w:val="-10"/>
          <w:szCs w:val="21"/>
        </w:rPr>
        <w:t>如果乙方不履行合同，履约保证金不予退还；如果乙方未能按合同约</w:t>
      </w:r>
      <w:r>
        <w:rPr>
          <w:rFonts w:ascii="宋体" w:hAnsi="宋体"/>
          <w:spacing w:val="-9"/>
          <w:szCs w:val="21"/>
        </w:rPr>
        <w:t>定全面履行义务，那么甲方有权从履约保证金中取得补偿或赔偿，同时不影响甲</w:t>
      </w:r>
      <w:r>
        <w:rPr>
          <w:rFonts w:ascii="宋体" w:hAnsi="宋体"/>
          <w:szCs w:val="21"/>
        </w:rPr>
        <w:t>方要求乙方承担合同约定的超过履约保证金的违约责任的权利。</w:t>
      </w:r>
    </w:p>
    <w:p>
      <w:pPr>
        <w:pStyle w:val="27"/>
        <w:numPr>
          <w:ilvl w:val="1"/>
          <w:numId w:val="24"/>
        </w:numPr>
        <w:tabs>
          <w:tab w:val="left" w:pos="1262"/>
        </w:tabs>
        <w:spacing w:before="2" w:line="360" w:lineRule="auto"/>
        <w:ind w:left="1262" w:hanging="605"/>
        <w:jc w:val="both"/>
        <w:rPr>
          <w:sz w:val="21"/>
          <w:szCs w:val="21"/>
        </w:rPr>
      </w:pPr>
      <w:r>
        <w:rPr>
          <w:sz w:val="21"/>
          <w:szCs w:val="21"/>
        </w:rPr>
        <w:t>合同份数</w:t>
      </w:r>
    </w:p>
    <w:p>
      <w:pPr>
        <w:spacing w:before="150" w:line="360" w:lineRule="auto"/>
        <w:ind w:left="654"/>
        <w:rPr>
          <w:rFonts w:ascii="宋体" w:hAnsi="宋体"/>
        </w:rPr>
      </w:pPr>
      <w:r>
        <w:rPr>
          <w:rFonts w:ascii="宋体" w:hAnsi="宋体"/>
        </w:rPr>
        <w:t>合同份数按</w:t>
      </w:r>
      <w:r>
        <w:rPr>
          <w:rFonts w:ascii="宋体" w:hAnsi="宋体"/>
          <w:b/>
          <w:i/>
          <w:u w:val="single"/>
        </w:rPr>
        <w:t>合同专用条款</w:t>
      </w:r>
      <w:r>
        <w:rPr>
          <w:rFonts w:ascii="宋体" w:hAnsi="宋体"/>
        </w:rPr>
        <w:t>规定，每份均具有同等法律效力。</w:t>
      </w:r>
    </w:p>
    <w:p>
      <w:pPr>
        <w:spacing w:line="360" w:lineRule="auto"/>
        <w:rPr>
          <w:rFonts w:ascii="宋体" w:hAnsi="宋体"/>
        </w:rPr>
        <w:sectPr>
          <w:pgSz w:w="11910" w:h="16840"/>
          <w:pgMar w:top="1380" w:right="1440" w:bottom="1500" w:left="1580" w:header="877" w:footer="1304" w:gutter="0"/>
          <w:pgNumType w:fmt="decimal"/>
          <w:cols w:space="720" w:num="1"/>
        </w:sectPr>
      </w:pPr>
    </w:p>
    <w:p>
      <w:pPr>
        <w:pStyle w:val="27"/>
        <w:spacing w:line="360" w:lineRule="auto"/>
        <w:ind w:left="3108"/>
        <w:rPr>
          <w:sz w:val="21"/>
          <w:szCs w:val="21"/>
        </w:rPr>
      </w:pPr>
      <w:r>
        <w:rPr>
          <w:sz w:val="21"/>
          <w:szCs w:val="21"/>
        </w:rPr>
        <w:t>第三部分 合同专用条款</w:t>
      </w:r>
    </w:p>
    <w:p>
      <w:pPr>
        <w:pStyle w:val="11"/>
        <w:spacing w:before="160" w:line="360" w:lineRule="auto"/>
        <w:ind w:right="238" w:firstLine="434"/>
        <w:rPr>
          <w:sz w:val="21"/>
          <w:szCs w:val="21"/>
        </w:rPr>
      </w:pPr>
      <w:r>
        <w:rPr>
          <w:sz w:val="21"/>
          <w:szCs w:val="21"/>
        </w:rPr>
        <w:t xml:space="preserve">本部分是对前两部分的补充和修改，如果前两部分和本部分的约定不一致， </w:t>
      </w:r>
      <w:r>
        <w:rPr>
          <w:spacing w:val="-7"/>
          <w:sz w:val="21"/>
          <w:szCs w:val="21"/>
        </w:rPr>
        <w:t>应以本部分的约定为准。本部分的条款号应与前两部分的条款号保持对应；与前两部分无对应关系的内容可另行编制条款号。</w:t>
      </w:r>
    </w:p>
    <w:p>
      <w:pPr>
        <w:spacing w:line="360" w:lineRule="auto"/>
        <w:jc w:val="left"/>
        <w:rPr>
          <w:rFonts w:ascii="宋体" w:hAnsi="宋体" w:cs="宋体"/>
        </w:rPr>
      </w:pPr>
    </w:p>
    <w:tbl>
      <w:tblPr>
        <w:tblStyle w:val="19"/>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94"/>
        <w:gridCol w:w="75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94" w:type="dxa"/>
            <w:tcBorders>
              <w:left w:val="single" w:color="000000" w:sz="4" w:space="0"/>
            </w:tcBorders>
            <w:noWrap w:val="0"/>
            <w:vAlign w:val="top"/>
          </w:tcPr>
          <w:p>
            <w:pPr>
              <w:pStyle w:val="25"/>
              <w:spacing w:before="40"/>
              <w:ind w:left="35"/>
              <w:rPr>
                <w:b/>
                <w:sz w:val="21"/>
                <w:szCs w:val="21"/>
                <w:lang w:eastAsia="en-US"/>
              </w:rPr>
            </w:pPr>
            <w:r>
              <w:rPr>
                <w:b/>
                <w:sz w:val="21"/>
                <w:szCs w:val="21"/>
                <w:lang w:eastAsia="en-US"/>
              </w:rPr>
              <w:t>条款号</w:t>
            </w:r>
          </w:p>
        </w:tc>
        <w:tc>
          <w:tcPr>
            <w:tcW w:w="7571" w:type="dxa"/>
            <w:noWrap w:val="0"/>
            <w:vAlign w:val="top"/>
          </w:tcPr>
          <w:p>
            <w:pPr>
              <w:pStyle w:val="25"/>
              <w:spacing w:before="40"/>
              <w:ind w:left="3280" w:right="3271"/>
              <w:jc w:val="center"/>
              <w:rPr>
                <w:b/>
                <w:sz w:val="21"/>
                <w:szCs w:val="21"/>
                <w:lang w:eastAsia="en-US"/>
              </w:rPr>
            </w:pPr>
            <w:r>
              <w:rPr>
                <w:b/>
                <w:sz w:val="21"/>
                <w:szCs w:val="21"/>
                <w:lang w:eastAsia="en-US"/>
              </w:rPr>
              <w:t>约定内容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794" w:type="dxa"/>
            <w:tcBorders>
              <w:left w:val="single" w:color="000000" w:sz="4" w:space="0"/>
            </w:tcBorders>
            <w:noWrap w:val="0"/>
            <w:vAlign w:val="top"/>
          </w:tcPr>
          <w:p>
            <w:pPr>
              <w:pStyle w:val="25"/>
              <w:rPr>
                <w:rFonts w:ascii="Times New Roman"/>
                <w:lang w:eastAsia="en-US"/>
              </w:rPr>
            </w:pPr>
          </w:p>
        </w:tc>
        <w:tc>
          <w:tcPr>
            <w:tcW w:w="7571" w:type="dxa"/>
            <w:noWrap w:val="0"/>
            <w:vAlign w:val="top"/>
          </w:tcPr>
          <w:p>
            <w:pPr>
              <w:pStyle w:val="25"/>
              <w:rPr>
                <w:rFonts w:ascii="Times New Roman"/>
                <w:lang w:eastAsia="en-US"/>
              </w:rPr>
            </w:pPr>
          </w:p>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94" w:type="dxa"/>
            <w:tcBorders>
              <w:left w:val="single" w:color="000000" w:sz="4" w:space="0"/>
            </w:tcBorders>
            <w:noWrap w:val="0"/>
            <w:vAlign w:val="top"/>
          </w:tcPr>
          <w:p>
            <w:pPr>
              <w:pStyle w:val="25"/>
              <w:rPr>
                <w:rFonts w:ascii="Times New Roman"/>
                <w:lang w:eastAsia="en-US"/>
              </w:rPr>
            </w:pPr>
          </w:p>
        </w:tc>
        <w:tc>
          <w:tcPr>
            <w:tcW w:w="7571" w:type="dxa"/>
            <w:noWrap w:val="0"/>
            <w:vAlign w:val="top"/>
          </w:tcPr>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794" w:type="dxa"/>
            <w:tcBorders>
              <w:left w:val="single" w:color="000000" w:sz="4" w:space="0"/>
            </w:tcBorders>
            <w:noWrap w:val="0"/>
            <w:vAlign w:val="top"/>
          </w:tcPr>
          <w:p>
            <w:pPr>
              <w:pStyle w:val="25"/>
              <w:rPr>
                <w:rFonts w:ascii="Times New Roman"/>
                <w:lang w:eastAsia="en-US"/>
              </w:rPr>
            </w:pPr>
          </w:p>
        </w:tc>
        <w:tc>
          <w:tcPr>
            <w:tcW w:w="7571" w:type="dxa"/>
            <w:noWrap w:val="0"/>
            <w:vAlign w:val="top"/>
          </w:tcPr>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94" w:type="dxa"/>
            <w:tcBorders>
              <w:left w:val="single" w:color="000000" w:sz="4" w:space="0"/>
            </w:tcBorders>
            <w:noWrap w:val="0"/>
            <w:vAlign w:val="top"/>
          </w:tcPr>
          <w:p>
            <w:pPr>
              <w:pStyle w:val="25"/>
              <w:rPr>
                <w:rFonts w:ascii="Times New Roman"/>
                <w:lang w:eastAsia="en-US"/>
              </w:rPr>
            </w:pPr>
          </w:p>
        </w:tc>
        <w:tc>
          <w:tcPr>
            <w:tcW w:w="7571" w:type="dxa"/>
            <w:noWrap w:val="0"/>
            <w:vAlign w:val="top"/>
          </w:tcPr>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794" w:type="dxa"/>
            <w:tcBorders>
              <w:left w:val="single" w:color="000000" w:sz="4" w:space="0"/>
            </w:tcBorders>
            <w:noWrap w:val="0"/>
            <w:vAlign w:val="top"/>
          </w:tcPr>
          <w:p>
            <w:pPr>
              <w:pStyle w:val="25"/>
              <w:rPr>
                <w:rFonts w:ascii="Times New Roman"/>
                <w:lang w:eastAsia="en-US"/>
              </w:rPr>
            </w:pPr>
          </w:p>
        </w:tc>
        <w:tc>
          <w:tcPr>
            <w:tcW w:w="7571" w:type="dxa"/>
            <w:noWrap w:val="0"/>
            <w:vAlign w:val="top"/>
          </w:tcPr>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794" w:type="dxa"/>
            <w:tcBorders>
              <w:left w:val="single" w:color="000000" w:sz="4" w:space="0"/>
            </w:tcBorders>
            <w:noWrap w:val="0"/>
            <w:vAlign w:val="top"/>
          </w:tcPr>
          <w:p>
            <w:pPr>
              <w:pStyle w:val="25"/>
              <w:rPr>
                <w:rFonts w:ascii="Times New Roman"/>
                <w:lang w:eastAsia="en-US"/>
              </w:rPr>
            </w:pPr>
          </w:p>
        </w:tc>
        <w:tc>
          <w:tcPr>
            <w:tcW w:w="7571" w:type="dxa"/>
            <w:noWrap w:val="0"/>
            <w:vAlign w:val="top"/>
          </w:tcPr>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94" w:type="dxa"/>
            <w:tcBorders>
              <w:left w:val="single" w:color="000000" w:sz="4" w:space="0"/>
            </w:tcBorders>
            <w:noWrap w:val="0"/>
            <w:vAlign w:val="top"/>
          </w:tcPr>
          <w:p>
            <w:pPr>
              <w:pStyle w:val="25"/>
              <w:rPr>
                <w:rFonts w:ascii="Times New Roman"/>
                <w:lang w:eastAsia="en-US"/>
              </w:rPr>
            </w:pPr>
          </w:p>
        </w:tc>
        <w:tc>
          <w:tcPr>
            <w:tcW w:w="7571" w:type="dxa"/>
            <w:noWrap w:val="0"/>
            <w:vAlign w:val="top"/>
          </w:tcPr>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794" w:type="dxa"/>
            <w:tcBorders>
              <w:left w:val="single" w:color="000000" w:sz="4" w:space="0"/>
            </w:tcBorders>
            <w:noWrap w:val="0"/>
            <w:vAlign w:val="top"/>
          </w:tcPr>
          <w:p>
            <w:pPr>
              <w:pStyle w:val="25"/>
              <w:rPr>
                <w:rFonts w:ascii="Times New Roman"/>
                <w:lang w:eastAsia="en-US"/>
              </w:rPr>
            </w:pPr>
          </w:p>
        </w:tc>
        <w:tc>
          <w:tcPr>
            <w:tcW w:w="7571" w:type="dxa"/>
            <w:noWrap w:val="0"/>
            <w:vAlign w:val="top"/>
          </w:tcPr>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94" w:type="dxa"/>
            <w:tcBorders>
              <w:left w:val="single" w:color="000000" w:sz="4" w:space="0"/>
            </w:tcBorders>
            <w:noWrap w:val="0"/>
            <w:vAlign w:val="top"/>
          </w:tcPr>
          <w:p>
            <w:pPr>
              <w:pStyle w:val="25"/>
              <w:rPr>
                <w:rFonts w:ascii="Times New Roman"/>
                <w:lang w:eastAsia="en-US"/>
              </w:rPr>
            </w:pPr>
          </w:p>
        </w:tc>
        <w:tc>
          <w:tcPr>
            <w:tcW w:w="7571" w:type="dxa"/>
            <w:noWrap w:val="0"/>
            <w:vAlign w:val="top"/>
          </w:tcPr>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794" w:type="dxa"/>
            <w:tcBorders>
              <w:left w:val="single" w:color="000000" w:sz="4" w:space="0"/>
            </w:tcBorders>
            <w:noWrap w:val="0"/>
            <w:vAlign w:val="top"/>
          </w:tcPr>
          <w:p>
            <w:pPr>
              <w:pStyle w:val="25"/>
              <w:rPr>
                <w:rFonts w:ascii="Times New Roman"/>
                <w:lang w:eastAsia="en-US"/>
              </w:rPr>
            </w:pPr>
          </w:p>
        </w:tc>
        <w:tc>
          <w:tcPr>
            <w:tcW w:w="7571" w:type="dxa"/>
            <w:noWrap w:val="0"/>
            <w:vAlign w:val="top"/>
          </w:tcPr>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794" w:type="dxa"/>
            <w:tcBorders>
              <w:left w:val="single" w:color="000000" w:sz="4" w:space="0"/>
            </w:tcBorders>
            <w:noWrap w:val="0"/>
            <w:vAlign w:val="top"/>
          </w:tcPr>
          <w:p>
            <w:pPr>
              <w:pStyle w:val="25"/>
              <w:rPr>
                <w:rFonts w:ascii="Times New Roman"/>
                <w:lang w:eastAsia="en-US"/>
              </w:rPr>
            </w:pPr>
          </w:p>
        </w:tc>
        <w:tc>
          <w:tcPr>
            <w:tcW w:w="7571" w:type="dxa"/>
            <w:noWrap w:val="0"/>
            <w:vAlign w:val="top"/>
          </w:tcPr>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94" w:type="dxa"/>
            <w:tcBorders>
              <w:left w:val="single" w:color="000000" w:sz="4" w:space="0"/>
            </w:tcBorders>
            <w:noWrap w:val="0"/>
            <w:vAlign w:val="top"/>
          </w:tcPr>
          <w:p>
            <w:pPr>
              <w:pStyle w:val="25"/>
              <w:rPr>
                <w:rFonts w:ascii="Times New Roman"/>
                <w:lang w:eastAsia="en-US"/>
              </w:rPr>
            </w:pPr>
          </w:p>
        </w:tc>
        <w:tc>
          <w:tcPr>
            <w:tcW w:w="7571" w:type="dxa"/>
            <w:noWrap w:val="0"/>
            <w:vAlign w:val="top"/>
          </w:tcPr>
          <w:p>
            <w:pPr>
              <w:pStyle w:val="25"/>
              <w:rPr>
                <w:rFonts w:ascii="Times New Roman"/>
                <w:lang w:eastAsia="en-US"/>
              </w:rPr>
            </w:pPr>
          </w:p>
        </w:tc>
      </w:tr>
    </w:tbl>
    <w:p>
      <w:pPr>
        <w:spacing w:line="360" w:lineRule="auto"/>
        <w:jc w:val="left"/>
        <w:rPr>
          <w:rFonts w:ascii="宋体" w:hAnsi="宋体" w:cs="宋体"/>
        </w:rPr>
      </w:pPr>
    </w:p>
    <w:p>
      <w:pPr>
        <w:widowControl/>
        <w:jc w:val="left"/>
        <w:rPr>
          <w:rFonts w:ascii="宋体" w:hAnsi="宋体" w:cs="宋体"/>
        </w:rPr>
      </w:pPr>
      <w:r>
        <w:rPr>
          <w:rFonts w:ascii="宋体" w:hAnsi="宋体" w:cs="宋体"/>
        </w:rPr>
        <w:br w:type="page"/>
      </w:r>
    </w:p>
    <w:p>
      <w:pPr>
        <w:spacing w:line="360" w:lineRule="auto"/>
        <w:jc w:val="left"/>
        <w:rPr>
          <w:rFonts w:ascii="宋体" w:hAnsi="宋体" w:cs="宋体"/>
        </w:rPr>
      </w:pPr>
    </w:p>
    <w:p>
      <w:pPr>
        <w:pStyle w:val="6"/>
        <w:keepNext/>
        <w:keepLines/>
        <w:pageBreakBefore w:val="0"/>
        <w:widowControl w:val="0"/>
        <w:kinsoku/>
        <w:wordWrap/>
        <w:overflowPunct/>
        <w:topLinePunct w:val="0"/>
        <w:autoSpaceDE/>
        <w:autoSpaceDN/>
        <w:bidi w:val="0"/>
        <w:adjustRightInd/>
        <w:snapToGrid/>
        <w:spacing w:after="90" w:line="360" w:lineRule="auto"/>
        <w:jc w:val="center"/>
        <w:textAlignment w:val="auto"/>
        <w:rPr>
          <w:rFonts w:hint="eastAsia" w:ascii="Times New Roman" w:hAnsi="Times New Roman"/>
        </w:rPr>
      </w:pPr>
      <w:bookmarkStart w:id="50" w:name="_Toc32677"/>
      <w:r>
        <w:rPr>
          <w:rFonts w:hint="eastAsia" w:ascii="Times New Roman" w:hAnsi="Times New Roman"/>
          <w:lang w:val="en-US" w:eastAsia="zh-CN"/>
        </w:rPr>
        <w:t>第六章</w:t>
      </w:r>
      <w:r>
        <w:rPr>
          <w:rFonts w:hint="eastAsia" w:ascii="Times New Roman" w:hAnsi="Times New Roman"/>
        </w:rPr>
        <w:t xml:space="preserve"> 响应文件格式</w:t>
      </w:r>
      <w:bookmarkEnd w:id="50"/>
    </w:p>
    <w:p>
      <w:pPr>
        <w:numPr>
          <w:ilvl w:val="0"/>
          <w:numId w:val="0"/>
        </w:numPr>
        <w:rPr>
          <w:rFonts w:hint="eastAsia"/>
        </w:rPr>
      </w:pPr>
    </w:p>
    <w:p>
      <w:pPr>
        <w:pStyle w:val="2"/>
        <w:rPr>
          <w:rFonts w:hint="eastAsia"/>
        </w:rPr>
      </w:pPr>
    </w:p>
    <w:p>
      <w:pPr>
        <w:rPr>
          <w:rFonts w:hint="eastAsia"/>
        </w:rPr>
      </w:pPr>
    </w:p>
    <w:p>
      <w:pPr>
        <w:jc w:val="center"/>
        <w:rPr>
          <w:rFonts w:ascii="宋体" w:hAnsi="宋体" w:cs="Arial"/>
          <w:sz w:val="28"/>
          <w:szCs w:val="28"/>
        </w:rPr>
      </w:pPr>
      <w:bookmarkStart w:id="51" w:name="_Toc32338_WPSOffice_Level1"/>
      <w:bookmarkStart w:id="52" w:name="_Toc13756_WPSOffice_Level1"/>
      <w:r>
        <w:rPr>
          <w:rFonts w:hint="eastAsia" w:ascii="宋体" w:hAnsi="宋体"/>
          <w:sz w:val="28"/>
          <w:szCs w:val="28"/>
          <w:u w:val="single"/>
        </w:rPr>
        <w:t>（项目名称）</w:t>
      </w:r>
      <w:bookmarkEnd w:id="51"/>
      <w:bookmarkEnd w:id="52"/>
    </w:p>
    <w:p>
      <w:pPr>
        <w:jc w:val="center"/>
        <w:rPr>
          <w:rFonts w:ascii="宋体" w:hAnsi="宋体" w:cs="Arial"/>
          <w:b/>
          <w:sz w:val="28"/>
          <w:szCs w:val="28"/>
        </w:rPr>
      </w:pPr>
      <w:bookmarkStart w:id="53" w:name="_Hlk450146333"/>
    </w:p>
    <w:p>
      <w:pPr>
        <w:jc w:val="center"/>
        <w:rPr>
          <w:rFonts w:ascii="宋体" w:hAnsi="宋体" w:cs="Arial"/>
          <w:b/>
          <w:sz w:val="28"/>
          <w:szCs w:val="28"/>
        </w:rPr>
      </w:pPr>
      <w:bookmarkStart w:id="54" w:name="_Toc361_WPSOffice_Level1"/>
      <w:bookmarkStart w:id="55" w:name="_Toc18887_WPSOffice_Level1"/>
      <w:r>
        <w:rPr>
          <w:rFonts w:hint="eastAsia" w:ascii="宋体" w:hAnsi="宋体" w:cs="Arial"/>
          <w:b/>
          <w:sz w:val="28"/>
          <w:szCs w:val="28"/>
        </w:rPr>
        <w:t xml:space="preserve">响 应 </w:t>
      </w:r>
      <w:bookmarkEnd w:id="53"/>
      <w:r>
        <w:rPr>
          <w:rFonts w:hint="eastAsia" w:ascii="宋体" w:hAnsi="宋体" w:cs="Arial"/>
          <w:b/>
          <w:sz w:val="28"/>
          <w:szCs w:val="28"/>
        </w:rPr>
        <w:t>文 件</w:t>
      </w:r>
      <w:bookmarkEnd w:id="54"/>
      <w:bookmarkEnd w:id="55"/>
    </w:p>
    <w:p>
      <w:pPr>
        <w:rPr>
          <w:rFonts w:ascii="宋体" w:hAnsi="宋体" w:cs="Arial"/>
          <w:sz w:val="28"/>
          <w:szCs w:val="28"/>
        </w:rPr>
      </w:pPr>
      <w:r>
        <w:rPr>
          <w:rFonts w:hint="eastAsia" w:ascii="宋体" w:hAnsi="宋体" w:cs="Arial"/>
          <w:sz w:val="28"/>
          <w:szCs w:val="28"/>
        </w:rPr>
        <w:t xml:space="preserve">               </w:t>
      </w:r>
    </w:p>
    <w:p>
      <w:pPr>
        <w:rPr>
          <w:rFonts w:ascii="宋体" w:hAnsi="宋体" w:cs="Arial"/>
          <w:sz w:val="28"/>
          <w:szCs w:val="28"/>
        </w:rPr>
      </w:pPr>
    </w:p>
    <w:p>
      <w:pPr>
        <w:ind w:firstLine="1120" w:firstLineChars="400"/>
        <w:rPr>
          <w:rFonts w:ascii="宋体" w:hAnsi="宋体" w:cs="Arial"/>
          <w:sz w:val="28"/>
          <w:szCs w:val="28"/>
        </w:rPr>
      </w:pPr>
      <w:r>
        <w:rPr>
          <w:rFonts w:hint="eastAsia" w:ascii="宋体" w:hAnsi="宋体" w:cs="Arial"/>
          <w:sz w:val="28"/>
          <w:szCs w:val="28"/>
        </w:rPr>
        <w:t>项目编号：</w:t>
      </w:r>
      <w:r>
        <w:rPr>
          <w:rFonts w:hint="eastAsia" w:ascii="宋体" w:hAnsi="宋体" w:cs="Arial"/>
          <w:sz w:val="28"/>
          <w:szCs w:val="28"/>
          <w:u w:val="single"/>
        </w:rPr>
        <w:t xml:space="preserve">                         </w:t>
      </w:r>
    </w:p>
    <w:p>
      <w:pPr>
        <w:jc w:val="center"/>
        <w:rPr>
          <w:rFonts w:ascii="宋体" w:hAnsi="宋体" w:cs="Arial"/>
          <w:sz w:val="28"/>
          <w:szCs w:val="28"/>
        </w:rPr>
      </w:pPr>
    </w:p>
    <w:p>
      <w:pPr>
        <w:jc w:val="center"/>
        <w:rPr>
          <w:rFonts w:ascii="宋体" w:hAnsi="宋体" w:cs="Arial"/>
          <w:sz w:val="28"/>
          <w:szCs w:val="28"/>
        </w:rPr>
      </w:pPr>
    </w:p>
    <w:p>
      <w:pPr>
        <w:ind w:firstLine="1120" w:firstLineChars="400"/>
        <w:rPr>
          <w:rFonts w:ascii="宋体" w:hAnsi="宋体"/>
          <w:sz w:val="28"/>
          <w:szCs w:val="28"/>
          <w:u w:val="single"/>
        </w:rPr>
      </w:pPr>
      <w:bookmarkStart w:id="56" w:name="_Toc4204_WPSOffice_Level1"/>
      <w:bookmarkStart w:id="57" w:name="_Toc13389_WPSOffice_Level1"/>
      <w:r>
        <w:rPr>
          <w:rFonts w:hint="eastAsia" w:ascii="宋体" w:hAnsi="宋体" w:cs="Arial"/>
          <w:sz w:val="28"/>
          <w:szCs w:val="28"/>
        </w:rPr>
        <w:t>采购人：</w:t>
      </w:r>
      <w:bookmarkEnd w:id="56"/>
      <w:bookmarkEnd w:id="57"/>
      <w:r>
        <w:rPr>
          <w:rFonts w:hint="eastAsia" w:ascii="宋体" w:hAnsi="宋体"/>
          <w:sz w:val="28"/>
          <w:szCs w:val="28"/>
          <w:u w:val="single"/>
        </w:rPr>
        <w:t xml:space="preserve">                               </w:t>
      </w:r>
    </w:p>
    <w:p>
      <w:pPr>
        <w:ind w:firstLine="1540" w:firstLineChars="550"/>
        <w:rPr>
          <w:rFonts w:ascii="宋体" w:hAnsi="宋体" w:cs="Arial"/>
          <w:sz w:val="28"/>
          <w:szCs w:val="28"/>
        </w:rPr>
      </w:pPr>
    </w:p>
    <w:p>
      <w:pPr>
        <w:spacing w:line="460" w:lineRule="exact"/>
        <w:ind w:firstLine="1120" w:firstLineChars="400"/>
        <w:rPr>
          <w:rFonts w:ascii="宋体" w:hAnsi="宋体"/>
          <w:sz w:val="28"/>
          <w:szCs w:val="28"/>
        </w:rPr>
      </w:pPr>
      <w:bookmarkStart w:id="58" w:name="_Toc22977_WPSOffice_Level1"/>
      <w:bookmarkStart w:id="59" w:name="_Toc23736_WPSOffice_Level1"/>
      <w:r>
        <w:rPr>
          <w:rFonts w:hint="eastAsia" w:ascii="宋体" w:hAnsi="宋体"/>
          <w:sz w:val="28"/>
          <w:szCs w:val="28"/>
        </w:rPr>
        <w:t>供应商签章：</w:t>
      </w:r>
      <w:r>
        <w:rPr>
          <w:rFonts w:hint="eastAsia" w:ascii="宋体" w:hAnsi="宋体"/>
          <w:sz w:val="28"/>
          <w:szCs w:val="28"/>
          <w:u w:val="single"/>
        </w:rPr>
        <w:t xml:space="preserve">                             </w:t>
      </w:r>
      <w:bookmarkEnd w:id="58"/>
      <w:bookmarkEnd w:id="59"/>
    </w:p>
    <w:p>
      <w:pPr>
        <w:spacing w:line="460" w:lineRule="exact"/>
        <w:ind w:firstLine="854" w:firstLineChars="305"/>
        <w:rPr>
          <w:rFonts w:ascii="宋体" w:hAnsi="宋体"/>
          <w:sz w:val="28"/>
          <w:szCs w:val="28"/>
          <w:u w:val="single"/>
        </w:rPr>
      </w:pPr>
    </w:p>
    <w:p>
      <w:pPr>
        <w:spacing w:line="460" w:lineRule="exact"/>
        <w:ind w:firstLine="854" w:firstLineChars="305"/>
        <w:rPr>
          <w:rFonts w:ascii="宋体" w:hAnsi="宋体"/>
          <w:sz w:val="28"/>
          <w:szCs w:val="28"/>
          <w:u w:val="single"/>
        </w:rPr>
      </w:pPr>
      <w:r>
        <w:rPr>
          <w:rFonts w:hint="eastAsia" w:ascii="宋体" w:hAnsi="宋体"/>
          <w:sz w:val="28"/>
          <w:szCs w:val="28"/>
        </w:rPr>
        <w:t xml:space="preserve">  </w:t>
      </w:r>
      <w:bookmarkStart w:id="60" w:name="_Toc22449_WPSOffice_Level1"/>
      <w:bookmarkStart w:id="61" w:name="_Toc7448_WPSOffice_Level1"/>
      <w:r>
        <w:rPr>
          <w:rFonts w:hint="eastAsia" w:ascii="宋体" w:hAnsi="宋体"/>
          <w:sz w:val="28"/>
          <w:szCs w:val="28"/>
        </w:rPr>
        <w:t>法定代表人或其委托代理人：</w:t>
      </w:r>
      <w:r>
        <w:rPr>
          <w:rFonts w:hint="eastAsia" w:ascii="宋体" w:hAnsi="宋体"/>
          <w:sz w:val="28"/>
          <w:szCs w:val="28"/>
          <w:u w:val="single"/>
        </w:rPr>
        <w:t xml:space="preserve">              </w:t>
      </w:r>
      <w:r>
        <w:rPr>
          <w:rFonts w:hint="eastAsia" w:ascii="宋体" w:hAnsi="宋体"/>
          <w:sz w:val="28"/>
          <w:szCs w:val="28"/>
        </w:rPr>
        <w:t>（签字或盖章）</w:t>
      </w:r>
      <w:bookmarkEnd w:id="60"/>
      <w:bookmarkEnd w:id="61"/>
    </w:p>
    <w:p>
      <w:pPr>
        <w:spacing w:line="460" w:lineRule="exact"/>
        <w:rPr>
          <w:rFonts w:ascii="宋体" w:hAnsi="宋体"/>
          <w:sz w:val="28"/>
          <w:szCs w:val="28"/>
        </w:rPr>
      </w:pPr>
    </w:p>
    <w:p>
      <w:pPr>
        <w:spacing w:line="460" w:lineRule="exact"/>
        <w:ind w:firstLine="435"/>
        <w:rPr>
          <w:rFonts w:ascii="宋体" w:hAnsi="宋体"/>
          <w:sz w:val="28"/>
          <w:szCs w:val="28"/>
        </w:rPr>
      </w:pPr>
    </w:p>
    <w:p>
      <w:pPr>
        <w:spacing w:line="460" w:lineRule="exact"/>
        <w:ind w:firstLine="435"/>
        <w:jc w:val="center"/>
        <w:rPr>
          <w:rFonts w:ascii="宋体" w:hAnsi="宋体"/>
          <w:sz w:val="28"/>
          <w:szCs w:val="28"/>
        </w:rPr>
      </w:pPr>
    </w:p>
    <w:p>
      <w:pPr>
        <w:spacing w:line="460" w:lineRule="exact"/>
        <w:ind w:firstLine="435"/>
        <w:jc w:val="center"/>
        <w:rPr>
          <w:rFonts w:ascii="宋体" w:hAnsi="宋体"/>
          <w:sz w:val="28"/>
          <w:szCs w:val="28"/>
        </w:rPr>
      </w:pPr>
    </w:p>
    <w:p>
      <w:pPr>
        <w:spacing w:line="460" w:lineRule="exact"/>
        <w:ind w:firstLine="435"/>
        <w:jc w:val="center"/>
        <w:rPr>
          <w:rFonts w:ascii="宋体" w:hAnsi="宋体"/>
          <w:sz w:val="28"/>
          <w:szCs w:val="28"/>
        </w:rPr>
      </w:pPr>
    </w:p>
    <w:p>
      <w:pPr>
        <w:spacing w:line="460" w:lineRule="exact"/>
        <w:ind w:firstLine="435"/>
        <w:jc w:val="center"/>
        <w:rPr>
          <w:rFonts w:ascii="宋体" w:hAnsi="宋体"/>
          <w:sz w:val="28"/>
          <w:szCs w:val="28"/>
        </w:rPr>
      </w:pPr>
      <w:bookmarkStart w:id="62" w:name="_Toc11712_WPSOffice_Level2"/>
      <w:bookmarkStart w:id="63" w:name="_Toc17804_WPSOffice_Level2"/>
      <w:r>
        <w:rPr>
          <w:rFonts w:hint="eastAsia" w:ascii="宋体" w:hAnsi="宋体"/>
          <w:sz w:val="28"/>
          <w:szCs w:val="28"/>
          <w:u w:val="single"/>
        </w:rPr>
        <w:t xml:space="preserve">     </w:t>
      </w:r>
      <w:r>
        <w:rPr>
          <w:rFonts w:hint="eastAsia" w:ascii="宋体" w:hAnsi="宋体"/>
          <w:sz w:val="28"/>
          <w:szCs w:val="28"/>
        </w:rPr>
        <w:t>年</w:t>
      </w:r>
      <w:r>
        <w:rPr>
          <w:rFonts w:hint="eastAsia" w:ascii="宋体" w:hAnsi="宋体"/>
          <w:sz w:val="28"/>
          <w:szCs w:val="28"/>
          <w:u w:val="single"/>
        </w:rPr>
        <w:t xml:space="preserve">    </w:t>
      </w:r>
      <w:r>
        <w:rPr>
          <w:rFonts w:hint="eastAsia" w:ascii="宋体" w:hAnsi="宋体"/>
          <w:sz w:val="28"/>
          <w:szCs w:val="28"/>
        </w:rPr>
        <w:t>月</w:t>
      </w:r>
      <w:r>
        <w:rPr>
          <w:rFonts w:hint="eastAsia" w:ascii="宋体" w:hAnsi="宋体"/>
          <w:sz w:val="28"/>
          <w:szCs w:val="28"/>
          <w:u w:val="single"/>
        </w:rPr>
        <w:t xml:space="preserve">     </w:t>
      </w:r>
      <w:r>
        <w:rPr>
          <w:rFonts w:hint="eastAsia" w:ascii="宋体" w:hAnsi="宋体"/>
          <w:sz w:val="28"/>
          <w:szCs w:val="28"/>
        </w:rPr>
        <w:t>日</w:t>
      </w:r>
      <w:bookmarkEnd w:id="62"/>
      <w:bookmarkEnd w:id="63"/>
    </w:p>
    <w:p>
      <w:pPr>
        <w:rPr>
          <w:rFonts w:ascii="宋体" w:hAnsi="宋体" w:cs="Arial"/>
          <w:sz w:val="28"/>
          <w:szCs w:val="28"/>
        </w:rPr>
      </w:pPr>
    </w:p>
    <w:p>
      <w:pPr>
        <w:jc w:val="center"/>
        <w:rPr>
          <w:rFonts w:ascii="宋体" w:hAnsi="宋体"/>
          <w:sz w:val="32"/>
        </w:rPr>
        <w:sectPr>
          <w:pgSz w:w="11910" w:h="16840"/>
          <w:pgMar w:top="1400" w:right="1240" w:bottom="1220" w:left="1240" w:header="877" w:footer="1033" w:gutter="0"/>
          <w:pgNumType w:fmt="decimal"/>
          <w:cols w:space="720" w:num="1"/>
        </w:sectPr>
      </w:pPr>
    </w:p>
    <w:p>
      <w:pPr>
        <w:pStyle w:val="8"/>
        <w:keepNext w:val="0"/>
        <w:keepLines w:val="0"/>
        <w:autoSpaceDE w:val="0"/>
        <w:autoSpaceDN w:val="0"/>
        <w:spacing w:before="104" w:after="0" w:line="360" w:lineRule="auto"/>
        <w:ind w:left="1367" w:right="1503"/>
        <w:jc w:val="center"/>
        <w:rPr>
          <w:rFonts w:ascii="宋体" w:hAnsi="宋体" w:cs="宋体"/>
          <w:kern w:val="0"/>
          <w:sz w:val="21"/>
          <w:szCs w:val="21"/>
          <w:lang w:val="zh-CN" w:bidi="zh-CN"/>
        </w:rPr>
      </w:pPr>
      <w:r>
        <w:rPr>
          <w:rFonts w:ascii="宋体" w:hAnsi="宋体" w:cs="宋体"/>
          <w:kern w:val="0"/>
          <w:sz w:val="21"/>
          <w:szCs w:val="21"/>
          <w:lang w:val="zh-CN" w:bidi="zh-CN"/>
        </w:rPr>
        <w:t>一、报价表格式</w:t>
      </w:r>
    </w:p>
    <w:p>
      <w:pPr>
        <w:numPr>
          <w:ilvl w:val="1"/>
          <w:numId w:val="25"/>
        </w:numPr>
        <w:autoSpaceDE w:val="0"/>
        <w:autoSpaceDN w:val="0"/>
        <w:spacing w:before="240" w:beforeLines="100" w:line="360" w:lineRule="auto"/>
        <w:ind w:left="82" w:leftChars="39" w:firstLine="211" w:firstLineChars="100"/>
        <w:jc w:val="left"/>
        <w:outlineLvl w:val="3"/>
        <w:rPr>
          <w:rFonts w:ascii="宋体" w:hAnsi="宋体" w:cs="宋体"/>
          <w:b/>
          <w:kern w:val="0"/>
          <w:lang w:val="zh-CN" w:bidi="zh-CN"/>
        </w:rPr>
      </w:pPr>
      <w:r>
        <w:rPr>
          <w:rFonts w:ascii="宋体" w:hAnsi="宋体" w:cs="宋体"/>
          <w:b/>
          <w:kern w:val="0"/>
          <w:lang w:val="zh-CN" w:bidi="zh-CN"/>
        </w:rPr>
        <w:t>报价表</w:t>
      </w:r>
    </w:p>
    <w:p>
      <w:pPr>
        <w:pStyle w:val="11"/>
        <w:spacing w:before="6" w:line="360" w:lineRule="auto"/>
        <w:rPr>
          <w:b/>
          <w:sz w:val="21"/>
          <w:szCs w:val="21"/>
        </w:rPr>
      </w:pPr>
    </w:p>
    <w:p>
      <w:pPr>
        <w:autoSpaceDE w:val="0"/>
        <w:autoSpaceDN w:val="0"/>
        <w:spacing w:line="360" w:lineRule="auto"/>
        <w:ind w:left="29" w:leftChars="14" w:firstLine="211" w:firstLineChars="100"/>
        <w:jc w:val="left"/>
        <w:rPr>
          <w:rFonts w:ascii="宋体" w:hAnsi="宋体" w:cs="宋体"/>
          <w:b/>
          <w:kern w:val="0"/>
          <w:lang w:val="zh-CN" w:bidi="zh-CN"/>
        </w:rPr>
      </w:pPr>
      <w:r>
        <w:rPr>
          <w:rFonts w:ascii="宋体" w:hAnsi="宋体" w:cs="宋体"/>
          <w:b/>
          <w:kern w:val="0"/>
          <w:lang w:val="zh-CN" w:bidi="zh-CN"/>
        </w:rPr>
        <w:t>项目名称：</w:t>
      </w:r>
      <w:r>
        <w:rPr>
          <w:rFonts w:ascii="宋体" w:hAnsi="宋体"/>
          <w:b/>
          <w:u w:val="single"/>
        </w:rPr>
        <w:t xml:space="preserve"> </w:t>
      </w:r>
      <w:r>
        <w:rPr>
          <w:rFonts w:hint="eastAsia" w:ascii="宋体" w:hAnsi="宋体"/>
          <w:b/>
          <w:u w:val="single"/>
        </w:rPr>
        <w:t xml:space="preserve"> </w:t>
      </w:r>
      <w:r>
        <w:rPr>
          <w:rFonts w:ascii="宋体" w:hAnsi="宋体"/>
          <w:b/>
          <w:u w:val="single"/>
        </w:rPr>
        <w:tab/>
      </w:r>
      <w:r>
        <w:rPr>
          <w:rFonts w:ascii="宋体" w:hAnsi="宋体"/>
          <w:b/>
          <w:u w:val="single"/>
        </w:rPr>
        <w:t xml:space="preserve">     </w:t>
      </w:r>
      <w:r>
        <w:rPr>
          <w:rFonts w:hint="eastAsia"/>
          <w:b/>
          <w:u w:val="single"/>
        </w:rPr>
        <w:t xml:space="preserve">           </w:t>
      </w:r>
    </w:p>
    <w:p>
      <w:pPr>
        <w:autoSpaceDE w:val="0"/>
        <w:autoSpaceDN w:val="0"/>
        <w:spacing w:line="360" w:lineRule="auto"/>
        <w:ind w:left="29" w:leftChars="14" w:firstLine="211" w:firstLineChars="100"/>
        <w:jc w:val="left"/>
        <w:rPr>
          <w:rFonts w:ascii="宋体" w:hAnsi="宋体" w:cs="宋体"/>
          <w:b/>
          <w:kern w:val="0"/>
          <w:lang w:val="zh-CN" w:bidi="zh-CN"/>
        </w:rPr>
      </w:pPr>
      <w:r>
        <w:rPr>
          <w:rFonts w:ascii="宋体" w:hAnsi="宋体" w:cs="宋体"/>
          <w:b/>
          <w:kern w:val="0"/>
          <w:lang w:val="zh-CN" w:bidi="zh-CN"/>
        </w:rPr>
        <w:t>项目编号：</w:t>
      </w:r>
      <w:r>
        <w:rPr>
          <w:rFonts w:ascii="宋体" w:hAnsi="宋体"/>
          <w:b/>
          <w:u w:val="single"/>
        </w:rPr>
        <w:t xml:space="preserve"> </w:t>
      </w:r>
      <w:r>
        <w:rPr>
          <w:rFonts w:hint="eastAsia" w:ascii="宋体" w:hAnsi="宋体"/>
          <w:b/>
          <w:u w:val="single"/>
        </w:rPr>
        <w:t xml:space="preserve"> </w:t>
      </w:r>
      <w:r>
        <w:rPr>
          <w:rFonts w:ascii="宋体" w:hAnsi="宋体"/>
          <w:b/>
          <w:u w:val="single"/>
        </w:rPr>
        <w:tab/>
      </w:r>
      <w:r>
        <w:rPr>
          <w:rFonts w:ascii="宋体" w:hAnsi="宋体"/>
          <w:b/>
          <w:u w:val="single"/>
        </w:rPr>
        <w:t xml:space="preserve">     </w:t>
      </w:r>
      <w:r>
        <w:rPr>
          <w:rFonts w:hint="eastAsia"/>
          <w:b/>
          <w:u w:val="single"/>
        </w:rPr>
        <w:t xml:space="preserve">           </w:t>
      </w:r>
    </w:p>
    <w:p>
      <w:pPr>
        <w:pStyle w:val="11"/>
        <w:spacing w:before="1" w:line="360" w:lineRule="auto"/>
        <w:rPr>
          <w:b/>
          <w:sz w:val="21"/>
          <w:szCs w:val="21"/>
        </w:rPr>
      </w:pPr>
    </w:p>
    <w:tbl>
      <w:tblPr>
        <w:tblStyle w:val="19"/>
        <w:tblW w:w="0" w:type="auto"/>
        <w:tblInd w:w="4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1"/>
        <w:gridCol w:w="60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2461" w:type="dxa"/>
            <w:noWrap w:val="0"/>
            <w:vAlign w:val="top"/>
          </w:tcPr>
          <w:p>
            <w:pPr>
              <w:pStyle w:val="25"/>
              <w:spacing w:before="177" w:line="360" w:lineRule="auto"/>
              <w:ind w:left="243" w:right="238"/>
              <w:jc w:val="center"/>
              <w:rPr>
                <w:b/>
                <w:sz w:val="21"/>
                <w:szCs w:val="21"/>
                <w:lang w:eastAsia="en-US"/>
              </w:rPr>
            </w:pPr>
            <w:r>
              <w:rPr>
                <w:b/>
                <w:sz w:val="21"/>
                <w:szCs w:val="21"/>
                <w:lang w:eastAsia="en-US"/>
              </w:rPr>
              <w:t>供应商名称</w:t>
            </w:r>
          </w:p>
        </w:tc>
        <w:tc>
          <w:tcPr>
            <w:tcW w:w="6064"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2461" w:type="dxa"/>
            <w:noWrap w:val="0"/>
            <w:vAlign w:val="top"/>
          </w:tcPr>
          <w:p>
            <w:pPr>
              <w:pStyle w:val="25"/>
              <w:spacing w:before="11" w:line="360" w:lineRule="auto"/>
              <w:rPr>
                <w:b/>
                <w:sz w:val="21"/>
                <w:szCs w:val="21"/>
                <w:lang w:eastAsia="en-US"/>
              </w:rPr>
            </w:pPr>
          </w:p>
          <w:p>
            <w:pPr>
              <w:pStyle w:val="25"/>
              <w:spacing w:line="360" w:lineRule="auto"/>
              <w:ind w:left="243" w:right="238"/>
              <w:jc w:val="center"/>
              <w:rPr>
                <w:b/>
                <w:sz w:val="21"/>
                <w:szCs w:val="21"/>
                <w:lang w:eastAsia="en-US"/>
              </w:rPr>
            </w:pPr>
            <w:r>
              <w:rPr>
                <w:b/>
                <w:sz w:val="21"/>
                <w:szCs w:val="21"/>
                <w:lang w:eastAsia="en-US"/>
              </w:rPr>
              <w:t>磋商范围</w:t>
            </w:r>
          </w:p>
        </w:tc>
        <w:tc>
          <w:tcPr>
            <w:tcW w:w="6064" w:type="dxa"/>
            <w:noWrap w:val="0"/>
            <w:vAlign w:val="top"/>
          </w:tcPr>
          <w:p>
            <w:pPr>
              <w:pStyle w:val="25"/>
              <w:spacing w:before="11" w:line="360" w:lineRule="auto"/>
              <w:rPr>
                <w:b/>
                <w:sz w:val="21"/>
                <w:szCs w:val="21"/>
                <w:lang w:eastAsia="en-US"/>
              </w:rPr>
            </w:pPr>
          </w:p>
          <w:p>
            <w:pPr>
              <w:pStyle w:val="25"/>
              <w:tabs>
                <w:tab w:val="left" w:pos="1547"/>
              </w:tabs>
              <w:spacing w:line="360" w:lineRule="auto"/>
              <w:ind w:left="107"/>
              <w:rPr>
                <w:sz w:val="21"/>
                <w:szCs w:val="21"/>
                <w:lang w:eastAsia="en-US"/>
              </w:rPr>
            </w:pPr>
            <w:r>
              <w:rPr>
                <w:sz w:val="21"/>
                <w:szCs w:val="21"/>
                <w:lang w:eastAsia="en-US"/>
              </w:rPr>
              <w:t>全部 / 第</w:t>
            </w:r>
            <w:r>
              <w:rPr>
                <w:sz w:val="21"/>
                <w:szCs w:val="21"/>
                <w:u w:val="single"/>
                <w:lang w:eastAsia="en-US"/>
              </w:rPr>
              <w:t xml:space="preserve"> </w:t>
            </w:r>
            <w:r>
              <w:rPr>
                <w:sz w:val="21"/>
                <w:szCs w:val="21"/>
                <w:u w:val="single"/>
                <w:lang w:eastAsia="en-US"/>
              </w:rPr>
              <w:tab/>
            </w:r>
            <w:r>
              <w:rPr>
                <w:sz w:val="21"/>
                <w:szCs w:val="21"/>
                <w:lang w:eastAsia="en-US"/>
              </w:rPr>
              <w:t>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1" w:hRule="atLeast"/>
        </w:trPr>
        <w:tc>
          <w:tcPr>
            <w:tcW w:w="2461" w:type="dxa"/>
            <w:noWrap w:val="0"/>
            <w:vAlign w:val="top"/>
          </w:tcPr>
          <w:p>
            <w:pPr>
              <w:pStyle w:val="25"/>
              <w:spacing w:before="7" w:line="360" w:lineRule="auto"/>
              <w:rPr>
                <w:b/>
                <w:sz w:val="21"/>
                <w:szCs w:val="21"/>
              </w:rPr>
            </w:pPr>
          </w:p>
          <w:p>
            <w:pPr>
              <w:pStyle w:val="25"/>
              <w:spacing w:line="360" w:lineRule="auto"/>
              <w:ind w:left="245" w:right="235"/>
              <w:jc w:val="center"/>
              <w:rPr>
                <w:b/>
                <w:sz w:val="21"/>
                <w:szCs w:val="21"/>
              </w:rPr>
            </w:pPr>
            <w:r>
              <w:rPr>
                <w:b/>
                <w:sz w:val="21"/>
                <w:szCs w:val="21"/>
              </w:rPr>
              <w:t>报价</w:t>
            </w:r>
          </w:p>
          <w:p>
            <w:pPr>
              <w:pStyle w:val="25"/>
              <w:spacing w:before="161" w:line="360" w:lineRule="auto"/>
              <w:ind w:left="245" w:right="238"/>
              <w:jc w:val="center"/>
              <w:rPr>
                <w:b/>
                <w:sz w:val="21"/>
                <w:szCs w:val="21"/>
              </w:rPr>
            </w:pPr>
            <w:r>
              <w:rPr>
                <w:b/>
                <w:sz w:val="21"/>
                <w:szCs w:val="21"/>
              </w:rPr>
              <w:t>（详见备注说明）</w:t>
            </w:r>
          </w:p>
        </w:tc>
        <w:tc>
          <w:tcPr>
            <w:tcW w:w="6064" w:type="dxa"/>
            <w:noWrap w:val="0"/>
            <w:vAlign w:val="top"/>
          </w:tcPr>
          <w:p>
            <w:pPr>
              <w:pStyle w:val="25"/>
              <w:spacing w:line="360" w:lineRule="auto"/>
              <w:rPr>
                <w:b/>
                <w:sz w:val="21"/>
                <w:szCs w:val="21"/>
              </w:rPr>
            </w:pPr>
          </w:p>
          <w:p>
            <w:pPr>
              <w:pStyle w:val="25"/>
              <w:spacing w:before="9" w:line="360" w:lineRule="auto"/>
              <w:rPr>
                <w:b/>
                <w:sz w:val="21"/>
                <w:szCs w:val="21"/>
              </w:rPr>
            </w:pPr>
          </w:p>
          <w:p>
            <w:pPr>
              <w:pStyle w:val="25"/>
              <w:tabs>
                <w:tab w:val="left" w:pos="4482"/>
              </w:tabs>
              <w:spacing w:line="360" w:lineRule="auto"/>
              <w:ind w:left="107"/>
              <w:rPr>
                <w:sz w:val="21"/>
                <w:szCs w:val="21"/>
              </w:rPr>
            </w:pPr>
            <w:r>
              <w:rPr>
                <w:rFonts w:hint="eastAsia"/>
              </w:rPr>
              <w:t>人民币（大写）</w:t>
            </w:r>
            <w:r>
              <w:rPr>
                <w:u w:val="single"/>
              </w:rPr>
              <w:t xml:space="preserve">           </w:t>
            </w:r>
            <w:r>
              <w:rPr>
                <w:rFonts w:hint="eastAsia"/>
              </w:rPr>
              <w:t>（小写</w:t>
            </w:r>
            <w:r>
              <w:rPr>
                <w:u w:val="single"/>
              </w:rPr>
              <w:t xml:space="preserve">            </w:t>
            </w:r>
            <w:r>
              <w:rPr>
                <w:rFonts w:hint="eastAsia"/>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7" w:hRule="atLeast"/>
        </w:trPr>
        <w:tc>
          <w:tcPr>
            <w:tcW w:w="2461" w:type="dxa"/>
            <w:noWrap w:val="0"/>
            <w:vAlign w:val="top"/>
          </w:tcPr>
          <w:p>
            <w:pPr>
              <w:pStyle w:val="25"/>
              <w:spacing w:line="360" w:lineRule="auto"/>
              <w:rPr>
                <w:b/>
                <w:sz w:val="21"/>
                <w:szCs w:val="21"/>
              </w:rPr>
            </w:pPr>
          </w:p>
          <w:p>
            <w:pPr>
              <w:pStyle w:val="25"/>
              <w:spacing w:line="360" w:lineRule="auto"/>
              <w:rPr>
                <w:b/>
                <w:sz w:val="21"/>
                <w:szCs w:val="21"/>
              </w:rPr>
            </w:pPr>
          </w:p>
          <w:p>
            <w:pPr>
              <w:pStyle w:val="25"/>
              <w:spacing w:line="360" w:lineRule="auto"/>
              <w:rPr>
                <w:b/>
                <w:sz w:val="21"/>
                <w:szCs w:val="21"/>
              </w:rPr>
            </w:pPr>
          </w:p>
          <w:p>
            <w:pPr>
              <w:pStyle w:val="25"/>
              <w:spacing w:before="215" w:line="360" w:lineRule="auto"/>
              <w:ind w:left="243" w:right="238"/>
              <w:jc w:val="center"/>
              <w:rPr>
                <w:b/>
                <w:sz w:val="21"/>
                <w:szCs w:val="21"/>
                <w:lang w:eastAsia="en-US"/>
              </w:rPr>
            </w:pPr>
            <w:r>
              <w:rPr>
                <w:b/>
                <w:sz w:val="21"/>
                <w:szCs w:val="21"/>
                <w:lang w:eastAsia="en-US"/>
              </w:rPr>
              <w:t>备注说明</w:t>
            </w:r>
          </w:p>
        </w:tc>
        <w:tc>
          <w:tcPr>
            <w:tcW w:w="6064" w:type="dxa"/>
            <w:noWrap w:val="0"/>
            <w:vAlign w:val="top"/>
          </w:tcPr>
          <w:p>
            <w:pPr>
              <w:pStyle w:val="25"/>
              <w:spacing w:line="360" w:lineRule="auto"/>
              <w:rPr>
                <w:sz w:val="21"/>
                <w:szCs w:val="21"/>
                <w:lang w:eastAsia="en-US"/>
              </w:rPr>
            </w:pPr>
          </w:p>
        </w:tc>
      </w:tr>
    </w:tbl>
    <w:p>
      <w:pPr>
        <w:pStyle w:val="11"/>
        <w:tabs>
          <w:tab w:val="left" w:pos="5841"/>
          <w:tab w:val="left" w:pos="8923"/>
        </w:tabs>
        <w:spacing w:before="79" w:line="360" w:lineRule="auto"/>
        <w:ind w:left="5121" w:right="501"/>
        <w:rPr>
          <w:sz w:val="21"/>
          <w:szCs w:val="21"/>
          <w:u w:val="single"/>
        </w:rPr>
      </w:pPr>
      <w:r>
        <w:rPr>
          <w:sz w:val="21"/>
          <w:szCs w:val="21"/>
        </w:rPr>
        <w:t>供应商</w:t>
      </w:r>
      <w:r>
        <w:rPr>
          <w:rFonts w:hint="eastAsia"/>
          <w:sz w:val="21"/>
          <w:szCs w:val="21"/>
          <w:lang w:eastAsia="zh-CN"/>
        </w:rPr>
        <w:t>签章</w:t>
      </w:r>
      <w:r>
        <w:rPr>
          <w:sz w:val="21"/>
          <w:szCs w:val="21"/>
        </w:rPr>
        <w:t>：</w:t>
      </w:r>
      <w:r>
        <w:rPr>
          <w:sz w:val="21"/>
          <w:szCs w:val="21"/>
          <w:u w:val="single"/>
        </w:rPr>
        <w:t xml:space="preserve"> </w:t>
      </w:r>
      <w:r>
        <w:rPr>
          <w:sz w:val="21"/>
          <w:szCs w:val="21"/>
          <w:u w:val="single"/>
        </w:rPr>
        <w:tab/>
      </w:r>
      <w:r>
        <w:rPr>
          <w:sz w:val="21"/>
          <w:szCs w:val="21"/>
          <w:u w:val="single"/>
        </w:rPr>
        <w:t xml:space="preserve"> </w:t>
      </w:r>
    </w:p>
    <w:p>
      <w:pPr>
        <w:pStyle w:val="11"/>
        <w:tabs>
          <w:tab w:val="left" w:pos="5841"/>
          <w:tab w:val="left" w:pos="8923"/>
        </w:tabs>
        <w:spacing w:before="79" w:line="360" w:lineRule="auto"/>
        <w:ind w:right="501"/>
        <w:jc w:val="right"/>
        <w:rPr>
          <w:sz w:val="21"/>
          <w:szCs w:val="21"/>
        </w:rPr>
      </w:pPr>
      <w:r>
        <w:rPr>
          <w:rFonts w:hint="eastAsia"/>
          <w:sz w:val="21"/>
          <w:szCs w:val="21"/>
        </w:rPr>
        <w:t>法定代表人或其委托代理人：</w:t>
      </w:r>
      <w:r>
        <w:rPr>
          <w:rFonts w:hint="eastAsia"/>
          <w:sz w:val="21"/>
          <w:szCs w:val="21"/>
          <w:u w:val="single"/>
        </w:rPr>
        <w:t xml:space="preserve"> （签字或盖章）</w:t>
      </w:r>
    </w:p>
    <w:p>
      <w:pPr>
        <w:pStyle w:val="11"/>
        <w:tabs>
          <w:tab w:val="left" w:pos="5841"/>
          <w:tab w:val="left" w:pos="8685"/>
        </w:tabs>
        <w:spacing w:before="79" w:line="360" w:lineRule="auto"/>
        <w:ind w:left="5122" w:leftChars="2439" w:right="501" w:firstLine="210" w:firstLineChars="100"/>
        <w:rPr>
          <w:sz w:val="21"/>
          <w:szCs w:val="21"/>
        </w:rPr>
      </w:pPr>
      <w:r>
        <w:rPr>
          <w:sz w:val="21"/>
          <w:szCs w:val="21"/>
        </w:rPr>
        <w:t>日</w:t>
      </w:r>
      <w:r>
        <w:rPr>
          <w:sz w:val="21"/>
          <w:szCs w:val="21"/>
        </w:rPr>
        <w:tab/>
      </w:r>
      <w:r>
        <w:rPr>
          <w:sz w:val="21"/>
          <w:szCs w:val="21"/>
        </w:rPr>
        <w:t>期：</w:t>
      </w:r>
      <w:r>
        <w:rPr>
          <w:rFonts w:hint="eastAsia"/>
          <w:sz w:val="21"/>
          <w:szCs w:val="21"/>
        </w:rPr>
        <w:t xml:space="preserve"> </w:t>
      </w:r>
      <w:r>
        <w:rPr>
          <w:sz w:val="21"/>
          <w:szCs w:val="21"/>
          <w:u w:val="single"/>
        </w:rPr>
        <w:t xml:space="preserve"> </w:t>
      </w:r>
      <w:r>
        <w:rPr>
          <w:sz w:val="21"/>
          <w:szCs w:val="21"/>
          <w:u w:val="single"/>
        </w:rPr>
        <w:tab/>
      </w:r>
    </w:p>
    <w:p>
      <w:pPr>
        <w:autoSpaceDE w:val="0"/>
        <w:autoSpaceDN w:val="0"/>
        <w:spacing w:line="360" w:lineRule="auto"/>
        <w:ind w:left="315" w:leftChars="150" w:right="210" w:rightChars="100" w:firstLine="422" w:firstLineChars="200"/>
        <w:jc w:val="left"/>
        <w:rPr>
          <w:rFonts w:ascii="宋体" w:hAnsi="宋体" w:cs="宋体"/>
          <w:b/>
          <w:kern w:val="0"/>
          <w:lang w:val="zh-CN" w:bidi="zh-CN"/>
        </w:rPr>
      </w:pPr>
      <w:r>
        <w:rPr>
          <w:rFonts w:ascii="宋体" w:hAnsi="宋体" w:cs="宋体"/>
          <w:b/>
          <w:kern w:val="0"/>
          <w:lang w:val="zh-CN" w:bidi="zh-CN"/>
        </w:rPr>
        <w:t>注：</w:t>
      </w:r>
    </w:p>
    <w:p>
      <w:pPr>
        <w:autoSpaceDE w:val="0"/>
        <w:autoSpaceDN w:val="0"/>
        <w:spacing w:line="360" w:lineRule="auto"/>
        <w:ind w:left="315" w:leftChars="150" w:right="210" w:rightChars="100" w:firstLine="422" w:firstLineChars="200"/>
        <w:jc w:val="left"/>
        <w:rPr>
          <w:rFonts w:ascii="宋体" w:hAnsi="宋体" w:cs="宋体"/>
          <w:b/>
          <w:kern w:val="0"/>
          <w:lang w:val="zh-CN" w:bidi="zh-CN"/>
        </w:rPr>
      </w:pPr>
      <w:r>
        <w:rPr>
          <w:rFonts w:ascii="宋体" w:hAnsi="宋体" w:cs="宋体"/>
          <w:b/>
          <w:kern w:val="0"/>
          <w:lang w:val="zh-CN" w:bidi="zh-CN"/>
        </w:rPr>
        <w:t>本表内容根据磋商文件要求包括了服务及其配套的设计、采购、制造、检测、试验、运输、保险、仓储、税费以及现场落地、安装及安装耗损、调试、验收、培训、技术服务（包括技术资料、图纸的提供）质保期内的售后服务保障等所有费用。</w:t>
      </w:r>
    </w:p>
    <w:p>
      <w:pPr>
        <w:autoSpaceDE w:val="0"/>
        <w:autoSpaceDN w:val="0"/>
        <w:spacing w:line="360" w:lineRule="auto"/>
        <w:ind w:left="315" w:leftChars="150" w:right="210" w:rightChars="100" w:firstLine="422" w:firstLineChars="200"/>
        <w:jc w:val="left"/>
        <w:rPr>
          <w:rFonts w:ascii="宋体" w:hAnsi="宋体" w:cs="宋体"/>
          <w:b/>
          <w:kern w:val="0"/>
          <w:lang w:val="zh-CN" w:bidi="zh-CN"/>
        </w:rPr>
      </w:pPr>
      <w:r>
        <w:rPr>
          <w:rFonts w:ascii="宋体" w:hAnsi="宋体" w:cs="宋体"/>
          <w:b/>
          <w:kern w:val="0"/>
          <w:lang w:val="zh-CN" w:bidi="zh-CN"/>
        </w:rPr>
        <w:t>特殊事项在备注中注明。</w:t>
      </w:r>
    </w:p>
    <w:p>
      <w:pPr>
        <w:autoSpaceDE w:val="0"/>
        <w:autoSpaceDN w:val="0"/>
        <w:spacing w:line="360" w:lineRule="auto"/>
        <w:ind w:left="315" w:leftChars="150" w:right="210" w:rightChars="100" w:firstLine="422" w:firstLineChars="200"/>
        <w:jc w:val="left"/>
        <w:rPr>
          <w:rFonts w:ascii="宋体" w:hAnsi="宋体" w:cs="宋体"/>
          <w:b/>
          <w:kern w:val="0"/>
          <w:lang w:val="zh-CN" w:bidi="zh-CN"/>
        </w:rPr>
        <w:sectPr>
          <w:pgSz w:w="11910" w:h="16840"/>
          <w:pgMar w:top="1400" w:right="1240" w:bottom="1220" w:left="1240" w:header="877" w:footer="1033" w:gutter="0"/>
          <w:pgNumType w:fmt="decimal"/>
          <w:cols w:space="720" w:num="1"/>
        </w:sectPr>
      </w:pPr>
      <w:r>
        <w:rPr>
          <w:rFonts w:ascii="宋体" w:hAnsi="宋体" w:cs="宋体"/>
          <w:b/>
          <w:kern w:val="0"/>
          <w:lang w:val="zh-CN" w:bidi="zh-CN"/>
        </w:rPr>
        <w:t>供应商应根据其响应文件中报价表的内容填写唱标信息，唱标信息不作为评审的依据。唱标信息与报价表不一致的，以报价表为准。</w:t>
      </w:r>
    </w:p>
    <w:p>
      <w:pPr>
        <w:numPr>
          <w:ilvl w:val="1"/>
          <w:numId w:val="25"/>
        </w:numPr>
        <w:autoSpaceDE w:val="0"/>
        <w:autoSpaceDN w:val="0"/>
        <w:spacing w:before="240" w:beforeLines="100" w:line="360" w:lineRule="auto"/>
        <w:ind w:left="82" w:leftChars="39" w:firstLine="211" w:firstLineChars="100"/>
        <w:jc w:val="left"/>
        <w:outlineLvl w:val="3"/>
        <w:rPr>
          <w:rFonts w:ascii="宋体" w:hAnsi="宋体" w:cs="宋体"/>
          <w:b/>
          <w:kern w:val="0"/>
          <w:lang w:val="zh-CN" w:bidi="zh-CN"/>
        </w:rPr>
      </w:pPr>
      <w:r>
        <w:rPr>
          <w:rFonts w:ascii="宋体" w:hAnsi="宋体" w:cs="宋体"/>
          <w:b/>
          <w:kern w:val="0"/>
          <w:lang w:val="zh-CN" w:bidi="zh-CN"/>
        </w:rPr>
        <w:t>分项报价明细表</w:t>
      </w:r>
    </w:p>
    <w:p>
      <w:pPr>
        <w:pStyle w:val="11"/>
        <w:spacing w:line="360" w:lineRule="auto"/>
        <w:rPr>
          <w:b/>
          <w:sz w:val="21"/>
          <w:szCs w:val="21"/>
        </w:rPr>
      </w:pPr>
    </w:p>
    <w:p>
      <w:pPr>
        <w:pStyle w:val="11"/>
        <w:spacing w:after="1" w:line="360" w:lineRule="auto"/>
        <w:rPr>
          <w:b/>
          <w:sz w:val="21"/>
          <w:szCs w:val="21"/>
        </w:rPr>
      </w:pPr>
    </w:p>
    <w:tbl>
      <w:tblPr>
        <w:tblStyle w:val="19"/>
        <w:tblW w:w="0" w:type="auto"/>
        <w:tblInd w:w="4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2"/>
        <w:gridCol w:w="1322"/>
        <w:gridCol w:w="1318"/>
        <w:gridCol w:w="1317"/>
        <w:gridCol w:w="672"/>
        <w:gridCol w:w="672"/>
        <w:gridCol w:w="938"/>
        <w:gridCol w:w="941"/>
        <w:gridCol w:w="6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72" w:type="dxa"/>
            <w:noWrap w:val="0"/>
            <w:vAlign w:val="top"/>
          </w:tcPr>
          <w:p>
            <w:pPr>
              <w:pStyle w:val="25"/>
              <w:spacing w:line="360" w:lineRule="auto"/>
              <w:ind w:left="215"/>
              <w:rPr>
                <w:b/>
                <w:sz w:val="21"/>
                <w:szCs w:val="21"/>
                <w:lang w:eastAsia="en-US"/>
              </w:rPr>
            </w:pPr>
            <w:r>
              <w:rPr>
                <w:b/>
                <w:w w:val="99"/>
                <w:sz w:val="21"/>
                <w:szCs w:val="21"/>
                <w:lang w:eastAsia="en-US"/>
              </w:rPr>
              <w:t>序</w:t>
            </w:r>
          </w:p>
          <w:p>
            <w:pPr>
              <w:pStyle w:val="25"/>
              <w:spacing w:before="4" w:line="360" w:lineRule="auto"/>
              <w:ind w:left="215"/>
              <w:rPr>
                <w:b/>
                <w:sz w:val="21"/>
                <w:szCs w:val="21"/>
                <w:lang w:eastAsia="en-US"/>
              </w:rPr>
            </w:pPr>
            <w:r>
              <w:rPr>
                <w:b/>
                <w:w w:val="99"/>
                <w:sz w:val="21"/>
                <w:szCs w:val="21"/>
                <w:lang w:eastAsia="en-US"/>
              </w:rPr>
              <w:t>号</w:t>
            </w:r>
          </w:p>
        </w:tc>
        <w:tc>
          <w:tcPr>
            <w:tcW w:w="1322" w:type="dxa"/>
            <w:noWrap w:val="0"/>
            <w:vAlign w:val="top"/>
          </w:tcPr>
          <w:p>
            <w:pPr>
              <w:pStyle w:val="25"/>
              <w:spacing w:before="155" w:line="360" w:lineRule="auto"/>
              <w:ind w:left="177"/>
              <w:rPr>
                <w:b/>
                <w:sz w:val="21"/>
                <w:szCs w:val="21"/>
                <w:lang w:eastAsia="en-US"/>
              </w:rPr>
            </w:pPr>
            <w:r>
              <w:rPr>
                <w:b/>
                <w:sz w:val="21"/>
                <w:szCs w:val="21"/>
                <w:lang w:eastAsia="en-US"/>
              </w:rPr>
              <w:t>货物名称</w:t>
            </w:r>
          </w:p>
        </w:tc>
        <w:tc>
          <w:tcPr>
            <w:tcW w:w="1318" w:type="dxa"/>
            <w:noWrap w:val="0"/>
            <w:vAlign w:val="top"/>
          </w:tcPr>
          <w:p>
            <w:pPr>
              <w:pStyle w:val="25"/>
              <w:spacing w:line="360" w:lineRule="auto"/>
              <w:ind w:left="156" w:right="148"/>
              <w:jc w:val="center"/>
              <w:rPr>
                <w:b/>
                <w:sz w:val="21"/>
                <w:szCs w:val="21"/>
                <w:lang w:eastAsia="en-US"/>
              </w:rPr>
            </w:pPr>
            <w:r>
              <w:rPr>
                <w:b/>
                <w:sz w:val="21"/>
                <w:szCs w:val="21"/>
                <w:lang w:eastAsia="en-US"/>
              </w:rPr>
              <w:t>品牌、型</w:t>
            </w:r>
          </w:p>
          <w:p>
            <w:pPr>
              <w:pStyle w:val="25"/>
              <w:spacing w:before="4" w:line="360" w:lineRule="auto"/>
              <w:ind w:left="156" w:right="146"/>
              <w:jc w:val="center"/>
              <w:rPr>
                <w:b/>
                <w:sz w:val="21"/>
                <w:szCs w:val="21"/>
                <w:lang w:eastAsia="en-US"/>
              </w:rPr>
            </w:pPr>
            <w:r>
              <w:rPr>
                <w:b/>
                <w:sz w:val="21"/>
                <w:szCs w:val="21"/>
                <w:lang w:eastAsia="en-US"/>
              </w:rPr>
              <w:t>号规格</w:t>
            </w:r>
          </w:p>
        </w:tc>
        <w:tc>
          <w:tcPr>
            <w:tcW w:w="1317" w:type="dxa"/>
            <w:noWrap w:val="0"/>
            <w:vAlign w:val="top"/>
          </w:tcPr>
          <w:p>
            <w:pPr>
              <w:pStyle w:val="25"/>
              <w:spacing w:line="360" w:lineRule="auto"/>
              <w:ind w:left="175"/>
              <w:rPr>
                <w:b/>
                <w:sz w:val="21"/>
                <w:szCs w:val="21"/>
                <w:lang w:eastAsia="en-US"/>
              </w:rPr>
            </w:pPr>
            <w:r>
              <w:rPr>
                <w:b/>
                <w:sz w:val="21"/>
                <w:szCs w:val="21"/>
                <w:lang w:eastAsia="en-US"/>
              </w:rPr>
              <w:t>原产地及</w:t>
            </w:r>
          </w:p>
          <w:p>
            <w:pPr>
              <w:pStyle w:val="25"/>
              <w:spacing w:before="4" w:line="360" w:lineRule="auto"/>
              <w:ind w:left="175"/>
              <w:rPr>
                <w:b/>
                <w:sz w:val="21"/>
                <w:szCs w:val="21"/>
                <w:lang w:eastAsia="en-US"/>
              </w:rPr>
            </w:pPr>
            <w:r>
              <w:rPr>
                <w:b/>
                <w:sz w:val="21"/>
                <w:szCs w:val="21"/>
                <w:lang w:eastAsia="en-US"/>
              </w:rPr>
              <w:t>生产厂商</w:t>
            </w:r>
          </w:p>
        </w:tc>
        <w:tc>
          <w:tcPr>
            <w:tcW w:w="672" w:type="dxa"/>
            <w:noWrap w:val="0"/>
            <w:vAlign w:val="top"/>
          </w:tcPr>
          <w:p>
            <w:pPr>
              <w:pStyle w:val="25"/>
              <w:spacing w:line="360" w:lineRule="auto"/>
              <w:ind w:left="217"/>
              <w:rPr>
                <w:b/>
                <w:sz w:val="21"/>
                <w:szCs w:val="21"/>
                <w:lang w:eastAsia="en-US"/>
              </w:rPr>
            </w:pPr>
            <w:r>
              <w:rPr>
                <w:b/>
                <w:w w:val="99"/>
                <w:sz w:val="21"/>
                <w:szCs w:val="21"/>
                <w:lang w:eastAsia="en-US"/>
              </w:rPr>
              <w:t>单</w:t>
            </w:r>
          </w:p>
          <w:p>
            <w:pPr>
              <w:pStyle w:val="25"/>
              <w:spacing w:before="4" w:line="360" w:lineRule="auto"/>
              <w:ind w:left="217"/>
              <w:rPr>
                <w:b/>
                <w:sz w:val="21"/>
                <w:szCs w:val="21"/>
                <w:lang w:eastAsia="en-US"/>
              </w:rPr>
            </w:pPr>
            <w:r>
              <w:rPr>
                <w:b/>
                <w:w w:val="99"/>
                <w:sz w:val="21"/>
                <w:szCs w:val="21"/>
                <w:lang w:eastAsia="en-US"/>
              </w:rPr>
              <w:t>位</w:t>
            </w:r>
          </w:p>
        </w:tc>
        <w:tc>
          <w:tcPr>
            <w:tcW w:w="672" w:type="dxa"/>
            <w:noWrap w:val="0"/>
            <w:vAlign w:val="top"/>
          </w:tcPr>
          <w:p>
            <w:pPr>
              <w:pStyle w:val="25"/>
              <w:spacing w:line="360" w:lineRule="auto"/>
              <w:ind w:left="217"/>
              <w:rPr>
                <w:b/>
                <w:sz w:val="21"/>
                <w:szCs w:val="21"/>
                <w:lang w:eastAsia="en-US"/>
              </w:rPr>
            </w:pPr>
            <w:r>
              <w:rPr>
                <w:b/>
                <w:w w:val="99"/>
                <w:sz w:val="21"/>
                <w:szCs w:val="21"/>
                <w:lang w:eastAsia="en-US"/>
              </w:rPr>
              <w:t>数</w:t>
            </w:r>
          </w:p>
          <w:p>
            <w:pPr>
              <w:pStyle w:val="25"/>
              <w:spacing w:before="4" w:line="360" w:lineRule="auto"/>
              <w:ind w:left="217"/>
              <w:rPr>
                <w:b/>
                <w:sz w:val="21"/>
                <w:szCs w:val="21"/>
                <w:lang w:eastAsia="en-US"/>
              </w:rPr>
            </w:pPr>
            <w:r>
              <w:rPr>
                <w:b/>
                <w:w w:val="99"/>
                <w:sz w:val="21"/>
                <w:szCs w:val="21"/>
                <w:lang w:eastAsia="en-US"/>
              </w:rPr>
              <w:t>量</w:t>
            </w:r>
          </w:p>
        </w:tc>
        <w:tc>
          <w:tcPr>
            <w:tcW w:w="938" w:type="dxa"/>
            <w:noWrap w:val="0"/>
            <w:vAlign w:val="top"/>
          </w:tcPr>
          <w:p>
            <w:pPr>
              <w:pStyle w:val="25"/>
              <w:spacing w:line="360" w:lineRule="auto"/>
              <w:ind w:left="106" w:right="91"/>
              <w:jc w:val="center"/>
              <w:rPr>
                <w:b/>
                <w:sz w:val="21"/>
                <w:szCs w:val="21"/>
                <w:lang w:eastAsia="en-US"/>
              </w:rPr>
            </w:pPr>
            <w:r>
              <w:rPr>
                <w:b/>
                <w:sz w:val="21"/>
                <w:szCs w:val="21"/>
                <w:lang w:eastAsia="en-US"/>
              </w:rPr>
              <w:t>单价</w:t>
            </w:r>
          </w:p>
          <w:p>
            <w:pPr>
              <w:pStyle w:val="25"/>
              <w:spacing w:before="4" w:line="360" w:lineRule="auto"/>
              <w:ind w:left="106" w:right="94"/>
              <w:jc w:val="center"/>
              <w:rPr>
                <w:b/>
                <w:sz w:val="21"/>
                <w:szCs w:val="21"/>
                <w:lang w:eastAsia="en-US"/>
              </w:rPr>
            </w:pPr>
            <w:r>
              <w:rPr>
                <w:b/>
                <w:w w:val="95"/>
                <w:sz w:val="21"/>
                <w:szCs w:val="21"/>
                <w:lang w:eastAsia="en-US"/>
              </w:rPr>
              <w:t>（元）</w:t>
            </w:r>
          </w:p>
        </w:tc>
        <w:tc>
          <w:tcPr>
            <w:tcW w:w="941" w:type="dxa"/>
            <w:noWrap w:val="0"/>
            <w:vAlign w:val="top"/>
          </w:tcPr>
          <w:p>
            <w:pPr>
              <w:pStyle w:val="25"/>
              <w:spacing w:line="360" w:lineRule="auto"/>
              <w:ind w:left="91" w:right="78"/>
              <w:jc w:val="center"/>
              <w:rPr>
                <w:b/>
                <w:sz w:val="21"/>
                <w:szCs w:val="21"/>
                <w:lang w:eastAsia="en-US"/>
              </w:rPr>
            </w:pPr>
            <w:r>
              <w:rPr>
                <w:b/>
                <w:sz w:val="21"/>
                <w:szCs w:val="21"/>
                <w:lang w:eastAsia="en-US"/>
              </w:rPr>
              <w:t>小计</w:t>
            </w:r>
          </w:p>
          <w:p>
            <w:pPr>
              <w:pStyle w:val="25"/>
              <w:spacing w:before="4" w:line="360" w:lineRule="auto"/>
              <w:ind w:left="90" w:right="80"/>
              <w:jc w:val="center"/>
              <w:rPr>
                <w:b/>
                <w:sz w:val="21"/>
                <w:szCs w:val="21"/>
                <w:lang w:eastAsia="en-US"/>
              </w:rPr>
            </w:pPr>
            <w:r>
              <w:rPr>
                <w:b/>
                <w:w w:val="95"/>
                <w:sz w:val="21"/>
                <w:szCs w:val="21"/>
                <w:lang w:eastAsia="en-US"/>
              </w:rPr>
              <w:t>（元）</w:t>
            </w:r>
          </w:p>
        </w:tc>
        <w:tc>
          <w:tcPr>
            <w:tcW w:w="669" w:type="dxa"/>
            <w:noWrap w:val="0"/>
            <w:vAlign w:val="top"/>
          </w:tcPr>
          <w:p>
            <w:pPr>
              <w:pStyle w:val="25"/>
              <w:spacing w:line="360" w:lineRule="auto"/>
              <w:ind w:left="215"/>
              <w:rPr>
                <w:b/>
                <w:sz w:val="21"/>
                <w:szCs w:val="21"/>
                <w:lang w:eastAsia="en-US"/>
              </w:rPr>
            </w:pPr>
            <w:r>
              <w:rPr>
                <w:b/>
                <w:w w:val="99"/>
                <w:sz w:val="21"/>
                <w:szCs w:val="21"/>
                <w:lang w:eastAsia="en-US"/>
              </w:rPr>
              <w:t>备</w:t>
            </w:r>
          </w:p>
          <w:p>
            <w:pPr>
              <w:pStyle w:val="25"/>
              <w:spacing w:before="4" w:line="360" w:lineRule="auto"/>
              <w:ind w:left="215"/>
              <w:rPr>
                <w:b/>
                <w:sz w:val="21"/>
                <w:szCs w:val="21"/>
                <w:lang w:eastAsia="en-US"/>
              </w:rPr>
            </w:pPr>
            <w:r>
              <w:rPr>
                <w:b/>
                <w:w w:val="99"/>
                <w:sz w:val="21"/>
                <w:szCs w:val="21"/>
                <w:lang w:eastAsia="en-US"/>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noWrap w:val="0"/>
            <w:vAlign w:val="top"/>
          </w:tcPr>
          <w:p>
            <w:pPr>
              <w:pStyle w:val="25"/>
              <w:spacing w:line="360" w:lineRule="auto"/>
              <w:ind w:right="264"/>
              <w:jc w:val="right"/>
              <w:rPr>
                <w:sz w:val="21"/>
                <w:szCs w:val="21"/>
                <w:lang w:eastAsia="en-US"/>
              </w:rPr>
            </w:pPr>
            <w:r>
              <w:rPr>
                <w:sz w:val="21"/>
                <w:szCs w:val="21"/>
                <w:lang w:eastAsia="en-US"/>
              </w:rPr>
              <w:t>1</w:t>
            </w:r>
          </w:p>
        </w:tc>
        <w:tc>
          <w:tcPr>
            <w:tcW w:w="1322" w:type="dxa"/>
            <w:noWrap w:val="0"/>
            <w:vAlign w:val="top"/>
          </w:tcPr>
          <w:p>
            <w:pPr>
              <w:pStyle w:val="25"/>
              <w:spacing w:line="360" w:lineRule="auto"/>
              <w:rPr>
                <w:sz w:val="21"/>
                <w:szCs w:val="21"/>
                <w:lang w:eastAsia="en-US"/>
              </w:rPr>
            </w:pPr>
          </w:p>
        </w:tc>
        <w:tc>
          <w:tcPr>
            <w:tcW w:w="1318" w:type="dxa"/>
            <w:noWrap w:val="0"/>
            <w:vAlign w:val="top"/>
          </w:tcPr>
          <w:p>
            <w:pPr>
              <w:pStyle w:val="25"/>
              <w:spacing w:line="360" w:lineRule="auto"/>
              <w:rPr>
                <w:sz w:val="21"/>
                <w:szCs w:val="21"/>
                <w:lang w:eastAsia="en-US"/>
              </w:rPr>
            </w:pPr>
          </w:p>
        </w:tc>
        <w:tc>
          <w:tcPr>
            <w:tcW w:w="1317"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938" w:type="dxa"/>
            <w:noWrap w:val="0"/>
            <w:vAlign w:val="top"/>
          </w:tcPr>
          <w:p>
            <w:pPr>
              <w:pStyle w:val="25"/>
              <w:spacing w:line="360" w:lineRule="auto"/>
              <w:rPr>
                <w:sz w:val="21"/>
                <w:szCs w:val="21"/>
                <w:lang w:eastAsia="en-US"/>
              </w:rPr>
            </w:pPr>
          </w:p>
        </w:tc>
        <w:tc>
          <w:tcPr>
            <w:tcW w:w="941" w:type="dxa"/>
            <w:noWrap w:val="0"/>
            <w:vAlign w:val="top"/>
          </w:tcPr>
          <w:p>
            <w:pPr>
              <w:pStyle w:val="25"/>
              <w:spacing w:line="360" w:lineRule="auto"/>
              <w:rPr>
                <w:sz w:val="21"/>
                <w:szCs w:val="21"/>
                <w:lang w:eastAsia="en-US"/>
              </w:rPr>
            </w:pPr>
          </w:p>
        </w:tc>
        <w:tc>
          <w:tcPr>
            <w:tcW w:w="669"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672" w:type="dxa"/>
            <w:noWrap w:val="0"/>
            <w:vAlign w:val="top"/>
          </w:tcPr>
          <w:p>
            <w:pPr>
              <w:pStyle w:val="25"/>
              <w:spacing w:line="360" w:lineRule="auto"/>
              <w:ind w:right="264"/>
              <w:jc w:val="right"/>
              <w:rPr>
                <w:sz w:val="21"/>
                <w:szCs w:val="21"/>
                <w:lang w:eastAsia="en-US"/>
              </w:rPr>
            </w:pPr>
            <w:r>
              <w:rPr>
                <w:sz w:val="21"/>
                <w:szCs w:val="21"/>
                <w:lang w:eastAsia="en-US"/>
              </w:rPr>
              <w:t>2</w:t>
            </w:r>
          </w:p>
        </w:tc>
        <w:tc>
          <w:tcPr>
            <w:tcW w:w="1322" w:type="dxa"/>
            <w:noWrap w:val="0"/>
            <w:vAlign w:val="top"/>
          </w:tcPr>
          <w:p>
            <w:pPr>
              <w:pStyle w:val="25"/>
              <w:spacing w:line="360" w:lineRule="auto"/>
              <w:rPr>
                <w:sz w:val="21"/>
                <w:szCs w:val="21"/>
                <w:lang w:eastAsia="en-US"/>
              </w:rPr>
            </w:pPr>
          </w:p>
        </w:tc>
        <w:tc>
          <w:tcPr>
            <w:tcW w:w="1318" w:type="dxa"/>
            <w:noWrap w:val="0"/>
            <w:vAlign w:val="top"/>
          </w:tcPr>
          <w:p>
            <w:pPr>
              <w:pStyle w:val="25"/>
              <w:spacing w:line="360" w:lineRule="auto"/>
              <w:rPr>
                <w:sz w:val="21"/>
                <w:szCs w:val="21"/>
                <w:lang w:eastAsia="en-US"/>
              </w:rPr>
            </w:pPr>
          </w:p>
        </w:tc>
        <w:tc>
          <w:tcPr>
            <w:tcW w:w="1317"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938" w:type="dxa"/>
            <w:noWrap w:val="0"/>
            <w:vAlign w:val="top"/>
          </w:tcPr>
          <w:p>
            <w:pPr>
              <w:pStyle w:val="25"/>
              <w:spacing w:line="360" w:lineRule="auto"/>
              <w:rPr>
                <w:sz w:val="21"/>
                <w:szCs w:val="21"/>
                <w:lang w:eastAsia="en-US"/>
              </w:rPr>
            </w:pPr>
          </w:p>
        </w:tc>
        <w:tc>
          <w:tcPr>
            <w:tcW w:w="941" w:type="dxa"/>
            <w:noWrap w:val="0"/>
            <w:vAlign w:val="top"/>
          </w:tcPr>
          <w:p>
            <w:pPr>
              <w:pStyle w:val="25"/>
              <w:spacing w:line="360" w:lineRule="auto"/>
              <w:rPr>
                <w:sz w:val="21"/>
                <w:szCs w:val="21"/>
                <w:lang w:eastAsia="en-US"/>
              </w:rPr>
            </w:pPr>
          </w:p>
        </w:tc>
        <w:tc>
          <w:tcPr>
            <w:tcW w:w="669"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noWrap w:val="0"/>
            <w:vAlign w:val="top"/>
          </w:tcPr>
          <w:p>
            <w:pPr>
              <w:pStyle w:val="25"/>
              <w:spacing w:before="2" w:line="360" w:lineRule="auto"/>
              <w:ind w:right="264"/>
              <w:jc w:val="right"/>
              <w:rPr>
                <w:sz w:val="21"/>
                <w:szCs w:val="21"/>
                <w:lang w:eastAsia="en-US"/>
              </w:rPr>
            </w:pPr>
            <w:r>
              <w:rPr>
                <w:sz w:val="21"/>
                <w:szCs w:val="21"/>
                <w:lang w:eastAsia="en-US"/>
              </w:rPr>
              <w:t>3</w:t>
            </w:r>
          </w:p>
        </w:tc>
        <w:tc>
          <w:tcPr>
            <w:tcW w:w="1322" w:type="dxa"/>
            <w:noWrap w:val="0"/>
            <w:vAlign w:val="top"/>
          </w:tcPr>
          <w:p>
            <w:pPr>
              <w:pStyle w:val="25"/>
              <w:spacing w:line="360" w:lineRule="auto"/>
              <w:rPr>
                <w:sz w:val="21"/>
                <w:szCs w:val="21"/>
                <w:lang w:eastAsia="en-US"/>
              </w:rPr>
            </w:pPr>
          </w:p>
        </w:tc>
        <w:tc>
          <w:tcPr>
            <w:tcW w:w="1318" w:type="dxa"/>
            <w:noWrap w:val="0"/>
            <w:vAlign w:val="top"/>
          </w:tcPr>
          <w:p>
            <w:pPr>
              <w:pStyle w:val="25"/>
              <w:spacing w:line="360" w:lineRule="auto"/>
              <w:rPr>
                <w:sz w:val="21"/>
                <w:szCs w:val="21"/>
                <w:lang w:eastAsia="en-US"/>
              </w:rPr>
            </w:pPr>
          </w:p>
        </w:tc>
        <w:tc>
          <w:tcPr>
            <w:tcW w:w="1317"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938" w:type="dxa"/>
            <w:noWrap w:val="0"/>
            <w:vAlign w:val="top"/>
          </w:tcPr>
          <w:p>
            <w:pPr>
              <w:pStyle w:val="25"/>
              <w:spacing w:line="360" w:lineRule="auto"/>
              <w:rPr>
                <w:sz w:val="21"/>
                <w:szCs w:val="21"/>
                <w:lang w:eastAsia="en-US"/>
              </w:rPr>
            </w:pPr>
          </w:p>
        </w:tc>
        <w:tc>
          <w:tcPr>
            <w:tcW w:w="941" w:type="dxa"/>
            <w:noWrap w:val="0"/>
            <w:vAlign w:val="top"/>
          </w:tcPr>
          <w:p>
            <w:pPr>
              <w:pStyle w:val="25"/>
              <w:spacing w:line="360" w:lineRule="auto"/>
              <w:rPr>
                <w:sz w:val="21"/>
                <w:szCs w:val="21"/>
                <w:lang w:eastAsia="en-US"/>
              </w:rPr>
            </w:pPr>
          </w:p>
        </w:tc>
        <w:tc>
          <w:tcPr>
            <w:tcW w:w="669"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72" w:type="dxa"/>
            <w:tcBorders>
              <w:bottom w:val="single" w:color="000000" w:sz="6" w:space="0"/>
            </w:tcBorders>
            <w:noWrap w:val="0"/>
            <w:vAlign w:val="top"/>
          </w:tcPr>
          <w:p>
            <w:pPr>
              <w:pStyle w:val="25"/>
              <w:spacing w:line="360" w:lineRule="auto"/>
              <w:ind w:right="264"/>
              <w:jc w:val="right"/>
              <w:rPr>
                <w:sz w:val="21"/>
                <w:szCs w:val="21"/>
                <w:lang w:eastAsia="en-US"/>
              </w:rPr>
            </w:pPr>
            <w:r>
              <w:rPr>
                <w:sz w:val="21"/>
                <w:szCs w:val="21"/>
                <w:lang w:eastAsia="en-US"/>
              </w:rPr>
              <w:t>4</w:t>
            </w:r>
          </w:p>
        </w:tc>
        <w:tc>
          <w:tcPr>
            <w:tcW w:w="1322" w:type="dxa"/>
            <w:tcBorders>
              <w:bottom w:val="single" w:color="000000" w:sz="6" w:space="0"/>
            </w:tcBorders>
            <w:noWrap w:val="0"/>
            <w:vAlign w:val="top"/>
          </w:tcPr>
          <w:p>
            <w:pPr>
              <w:pStyle w:val="25"/>
              <w:spacing w:line="360" w:lineRule="auto"/>
              <w:rPr>
                <w:sz w:val="21"/>
                <w:szCs w:val="21"/>
                <w:lang w:eastAsia="en-US"/>
              </w:rPr>
            </w:pPr>
          </w:p>
        </w:tc>
        <w:tc>
          <w:tcPr>
            <w:tcW w:w="1318" w:type="dxa"/>
            <w:tcBorders>
              <w:bottom w:val="single" w:color="000000" w:sz="6" w:space="0"/>
            </w:tcBorders>
            <w:noWrap w:val="0"/>
            <w:vAlign w:val="top"/>
          </w:tcPr>
          <w:p>
            <w:pPr>
              <w:pStyle w:val="25"/>
              <w:spacing w:line="360" w:lineRule="auto"/>
              <w:rPr>
                <w:sz w:val="21"/>
                <w:szCs w:val="21"/>
                <w:lang w:eastAsia="en-US"/>
              </w:rPr>
            </w:pPr>
          </w:p>
        </w:tc>
        <w:tc>
          <w:tcPr>
            <w:tcW w:w="1317" w:type="dxa"/>
            <w:tcBorders>
              <w:bottom w:val="single" w:color="000000" w:sz="6" w:space="0"/>
            </w:tcBorders>
            <w:noWrap w:val="0"/>
            <w:vAlign w:val="top"/>
          </w:tcPr>
          <w:p>
            <w:pPr>
              <w:pStyle w:val="25"/>
              <w:spacing w:line="360" w:lineRule="auto"/>
              <w:rPr>
                <w:sz w:val="21"/>
                <w:szCs w:val="21"/>
                <w:lang w:eastAsia="en-US"/>
              </w:rPr>
            </w:pPr>
          </w:p>
        </w:tc>
        <w:tc>
          <w:tcPr>
            <w:tcW w:w="672" w:type="dxa"/>
            <w:tcBorders>
              <w:bottom w:val="single" w:color="000000" w:sz="6" w:space="0"/>
            </w:tcBorders>
            <w:noWrap w:val="0"/>
            <w:vAlign w:val="top"/>
          </w:tcPr>
          <w:p>
            <w:pPr>
              <w:pStyle w:val="25"/>
              <w:spacing w:line="360" w:lineRule="auto"/>
              <w:rPr>
                <w:sz w:val="21"/>
                <w:szCs w:val="21"/>
                <w:lang w:eastAsia="en-US"/>
              </w:rPr>
            </w:pPr>
          </w:p>
        </w:tc>
        <w:tc>
          <w:tcPr>
            <w:tcW w:w="672" w:type="dxa"/>
            <w:tcBorders>
              <w:bottom w:val="single" w:color="000000" w:sz="6" w:space="0"/>
            </w:tcBorders>
            <w:noWrap w:val="0"/>
            <w:vAlign w:val="top"/>
          </w:tcPr>
          <w:p>
            <w:pPr>
              <w:pStyle w:val="25"/>
              <w:spacing w:line="360" w:lineRule="auto"/>
              <w:rPr>
                <w:sz w:val="21"/>
                <w:szCs w:val="21"/>
                <w:lang w:eastAsia="en-US"/>
              </w:rPr>
            </w:pPr>
          </w:p>
        </w:tc>
        <w:tc>
          <w:tcPr>
            <w:tcW w:w="938" w:type="dxa"/>
            <w:tcBorders>
              <w:bottom w:val="single" w:color="000000" w:sz="6" w:space="0"/>
            </w:tcBorders>
            <w:noWrap w:val="0"/>
            <w:vAlign w:val="top"/>
          </w:tcPr>
          <w:p>
            <w:pPr>
              <w:pStyle w:val="25"/>
              <w:spacing w:line="360" w:lineRule="auto"/>
              <w:rPr>
                <w:sz w:val="21"/>
                <w:szCs w:val="21"/>
                <w:lang w:eastAsia="en-US"/>
              </w:rPr>
            </w:pPr>
          </w:p>
        </w:tc>
        <w:tc>
          <w:tcPr>
            <w:tcW w:w="941" w:type="dxa"/>
            <w:tcBorders>
              <w:bottom w:val="single" w:color="000000" w:sz="6" w:space="0"/>
            </w:tcBorders>
            <w:noWrap w:val="0"/>
            <w:vAlign w:val="top"/>
          </w:tcPr>
          <w:p>
            <w:pPr>
              <w:pStyle w:val="25"/>
              <w:spacing w:line="360" w:lineRule="auto"/>
              <w:rPr>
                <w:sz w:val="21"/>
                <w:szCs w:val="21"/>
                <w:lang w:eastAsia="en-US"/>
              </w:rPr>
            </w:pPr>
          </w:p>
        </w:tc>
        <w:tc>
          <w:tcPr>
            <w:tcW w:w="669" w:type="dxa"/>
            <w:tcBorders>
              <w:bottom w:val="single" w:color="000000" w:sz="6" w:space="0"/>
            </w:tcBorders>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672" w:type="dxa"/>
            <w:tcBorders>
              <w:top w:val="single" w:color="000000" w:sz="6" w:space="0"/>
            </w:tcBorders>
            <w:noWrap w:val="0"/>
            <w:vAlign w:val="top"/>
          </w:tcPr>
          <w:p>
            <w:pPr>
              <w:pStyle w:val="25"/>
              <w:spacing w:line="360" w:lineRule="auto"/>
              <w:ind w:right="264"/>
              <w:jc w:val="right"/>
              <w:rPr>
                <w:sz w:val="21"/>
                <w:szCs w:val="21"/>
                <w:lang w:eastAsia="en-US"/>
              </w:rPr>
            </w:pPr>
            <w:r>
              <w:rPr>
                <w:sz w:val="21"/>
                <w:szCs w:val="21"/>
                <w:lang w:eastAsia="en-US"/>
              </w:rPr>
              <w:t>5</w:t>
            </w:r>
          </w:p>
        </w:tc>
        <w:tc>
          <w:tcPr>
            <w:tcW w:w="1322" w:type="dxa"/>
            <w:tcBorders>
              <w:top w:val="single" w:color="000000" w:sz="6" w:space="0"/>
            </w:tcBorders>
            <w:noWrap w:val="0"/>
            <w:vAlign w:val="top"/>
          </w:tcPr>
          <w:p>
            <w:pPr>
              <w:pStyle w:val="25"/>
              <w:spacing w:line="360" w:lineRule="auto"/>
              <w:rPr>
                <w:sz w:val="21"/>
                <w:szCs w:val="21"/>
                <w:lang w:eastAsia="en-US"/>
              </w:rPr>
            </w:pPr>
          </w:p>
        </w:tc>
        <w:tc>
          <w:tcPr>
            <w:tcW w:w="1318" w:type="dxa"/>
            <w:tcBorders>
              <w:top w:val="single" w:color="000000" w:sz="6" w:space="0"/>
            </w:tcBorders>
            <w:noWrap w:val="0"/>
            <w:vAlign w:val="top"/>
          </w:tcPr>
          <w:p>
            <w:pPr>
              <w:pStyle w:val="25"/>
              <w:spacing w:line="360" w:lineRule="auto"/>
              <w:rPr>
                <w:sz w:val="21"/>
                <w:szCs w:val="21"/>
                <w:lang w:eastAsia="en-US"/>
              </w:rPr>
            </w:pPr>
          </w:p>
        </w:tc>
        <w:tc>
          <w:tcPr>
            <w:tcW w:w="1317" w:type="dxa"/>
            <w:tcBorders>
              <w:top w:val="single" w:color="000000" w:sz="6" w:space="0"/>
            </w:tcBorders>
            <w:noWrap w:val="0"/>
            <w:vAlign w:val="top"/>
          </w:tcPr>
          <w:p>
            <w:pPr>
              <w:pStyle w:val="25"/>
              <w:spacing w:line="360" w:lineRule="auto"/>
              <w:rPr>
                <w:sz w:val="21"/>
                <w:szCs w:val="21"/>
                <w:lang w:eastAsia="en-US"/>
              </w:rPr>
            </w:pPr>
          </w:p>
        </w:tc>
        <w:tc>
          <w:tcPr>
            <w:tcW w:w="672" w:type="dxa"/>
            <w:tcBorders>
              <w:top w:val="single" w:color="000000" w:sz="6" w:space="0"/>
            </w:tcBorders>
            <w:noWrap w:val="0"/>
            <w:vAlign w:val="top"/>
          </w:tcPr>
          <w:p>
            <w:pPr>
              <w:pStyle w:val="25"/>
              <w:spacing w:line="360" w:lineRule="auto"/>
              <w:rPr>
                <w:sz w:val="21"/>
                <w:szCs w:val="21"/>
                <w:lang w:eastAsia="en-US"/>
              </w:rPr>
            </w:pPr>
          </w:p>
        </w:tc>
        <w:tc>
          <w:tcPr>
            <w:tcW w:w="672" w:type="dxa"/>
            <w:tcBorders>
              <w:top w:val="single" w:color="000000" w:sz="6" w:space="0"/>
            </w:tcBorders>
            <w:noWrap w:val="0"/>
            <w:vAlign w:val="top"/>
          </w:tcPr>
          <w:p>
            <w:pPr>
              <w:pStyle w:val="25"/>
              <w:spacing w:line="360" w:lineRule="auto"/>
              <w:rPr>
                <w:sz w:val="21"/>
                <w:szCs w:val="21"/>
                <w:lang w:eastAsia="en-US"/>
              </w:rPr>
            </w:pPr>
          </w:p>
        </w:tc>
        <w:tc>
          <w:tcPr>
            <w:tcW w:w="938" w:type="dxa"/>
            <w:tcBorders>
              <w:top w:val="single" w:color="000000" w:sz="6" w:space="0"/>
            </w:tcBorders>
            <w:noWrap w:val="0"/>
            <w:vAlign w:val="top"/>
          </w:tcPr>
          <w:p>
            <w:pPr>
              <w:pStyle w:val="25"/>
              <w:spacing w:line="360" w:lineRule="auto"/>
              <w:rPr>
                <w:sz w:val="21"/>
                <w:szCs w:val="21"/>
                <w:lang w:eastAsia="en-US"/>
              </w:rPr>
            </w:pPr>
          </w:p>
        </w:tc>
        <w:tc>
          <w:tcPr>
            <w:tcW w:w="941" w:type="dxa"/>
            <w:tcBorders>
              <w:top w:val="single" w:color="000000" w:sz="6" w:space="0"/>
            </w:tcBorders>
            <w:noWrap w:val="0"/>
            <w:vAlign w:val="top"/>
          </w:tcPr>
          <w:p>
            <w:pPr>
              <w:pStyle w:val="25"/>
              <w:spacing w:line="360" w:lineRule="auto"/>
              <w:rPr>
                <w:sz w:val="21"/>
                <w:szCs w:val="21"/>
                <w:lang w:eastAsia="en-US"/>
              </w:rPr>
            </w:pPr>
          </w:p>
        </w:tc>
        <w:tc>
          <w:tcPr>
            <w:tcW w:w="669" w:type="dxa"/>
            <w:tcBorders>
              <w:top w:val="single" w:color="000000" w:sz="6" w:space="0"/>
            </w:tcBorders>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noWrap w:val="0"/>
            <w:vAlign w:val="top"/>
          </w:tcPr>
          <w:p>
            <w:pPr>
              <w:pStyle w:val="25"/>
              <w:spacing w:before="2" w:line="360" w:lineRule="auto"/>
              <w:ind w:right="264"/>
              <w:jc w:val="right"/>
              <w:rPr>
                <w:sz w:val="21"/>
                <w:szCs w:val="21"/>
                <w:lang w:eastAsia="en-US"/>
              </w:rPr>
            </w:pPr>
            <w:r>
              <w:rPr>
                <w:sz w:val="21"/>
                <w:szCs w:val="21"/>
                <w:lang w:eastAsia="en-US"/>
              </w:rPr>
              <w:t>6</w:t>
            </w:r>
          </w:p>
        </w:tc>
        <w:tc>
          <w:tcPr>
            <w:tcW w:w="1322" w:type="dxa"/>
            <w:noWrap w:val="0"/>
            <w:vAlign w:val="top"/>
          </w:tcPr>
          <w:p>
            <w:pPr>
              <w:pStyle w:val="25"/>
              <w:spacing w:line="360" w:lineRule="auto"/>
              <w:rPr>
                <w:sz w:val="21"/>
                <w:szCs w:val="21"/>
                <w:lang w:eastAsia="en-US"/>
              </w:rPr>
            </w:pPr>
          </w:p>
        </w:tc>
        <w:tc>
          <w:tcPr>
            <w:tcW w:w="1318" w:type="dxa"/>
            <w:noWrap w:val="0"/>
            <w:vAlign w:val="top"/>
          </w:tcPr>
          <w:p>
            <w:pPr>
              <w:pStyle w:val="25"/>
              <w:spacing w:line="360" w:lineRule="auto"/>
              <w:rPr>
                <w:sz w:val="21"/>
                <w:szCs w:val="21"/>
                <w:lang w:eastAsia="en-US"/>
              </w:rPr>
            </w:pPr>
          </w:p>
        </w:tc>
        <w:tc>
          <w:tcPr>
            <w:tcW w:w="1317"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938" w:type="dxa"/>
            <w:noWrap w:val="0"/>
            <w:vAlign w:val="top"/>
          </w:tcPr>
          <w:p>
            <w:pPr>
              <w:pStyle w:val="25"/>
              <w:spacing w:line="360" w:lineRule="auto"/>
              <w:rPr>
                <w:sz w:val="21"/>
                <w:szCs w:val="21"/>
                <w:lang w:eastAsia="en-US"/>
              </w:rPr>
            </w:pPr>
          </w:p>
        </w:tc>
        <w:tc>
          <w:tcPr>
            <w:tcW w:w="941" w:type="dxa"/>
            <w:noWrap w:val="0"/>
            <w:vAlign w:val="top"/>
          </w:tcPr>
          <w:p>
            <w:pPr>
              <w:pStyle w:val="25"/>
              <w:spacing w:line="360" w:lineRule="auto"/>
              <w:rPr>
                <w:sz w:val="21"/>
                <w:szCs w:val="21"/>
                <w:lang w:eastAsia="en-US"/>
              </w:rPr>
            </w:pPr>
          </w:p>
        </w:tc>
        <w:tc>
          <w:tcPr>
            <w:tcW w:w="669"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noWrap w:val="0"/>
            <w:vAlign w:val="top"/>
          </w:tcPr>
          <w:p>
            <w:pPr>
              <w:pStyle w:val="25"/>
              <w:spacing w:line="360" w:lineRule="auto"/>
              <w:ind w:right="264"/>
              <w:jc w:val="right"/>
              <w:rPr>
                <w:sz w:val="21"/>
                <w:szCs w:val="21"/>
                <w:lang w:eastAsia="en-US"/>
              </w:rPr>
            </w:pPr>
            <w:r>
              <w:rPr>
                <w:sz w:val="21"/>
                <w:szCs w:val="21"/>
                <w:lang w:eastAsia="en-US"/>
              </w:rPr>
              <w:t>7</w:t>
            </w:r>
          </w:p>
        </w:tc>
        <w:tc>
          <w:tcPr>
            <w:tcW w:w="1322" w:type="dxa"/>
            <w:noWrap w:val="0"/>
            <w:vAlign w:val="top"/>
          </w:tcPr>
          <w:p>
            <w:pPr>
              <w:pStyle w:val="25"/>
              <w:spacing w:line="360" w:lineRule="auto"/>
              <w:rPr>
                <w:sz w:val="21"/>
                <w:szCs w:val="21"/>
                <w:lang w:eastAsia="en-US"/>
              </w:rPr>
            </w:pPr>
          </w:p>
        </w:tc>
        <w:tc>
          <w:tcPr>
            <w:tcW w:w="1318" w:type="dxa"/>
            <w:noWrap w:val="0"/>
            <w:vAlign w:val="top"/>
          </w:tcPr>
          <w:p>
            <w:pPr>
              <w:pStyle w:val="25"/>
              <w:spacing w:line="360" w:lineRule="auto"/>
              <w:rPr>
                <w:sz w:val="21"/>
                <w:szCs w:val="21"/>
                <w:lang w:eastAsia="en-US"/>
              </w:rPr>
            </w:pPr>
          </w:p>
        </w:tc>
        <w:tc>
          <w:tcPr>
            <w:tcW w:w="1317"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938" w:type="dxa"/>
            <w:noWrap w:val="0"/>
            <w:vAlign w:val="top"/>
          </w:tcPr>
          <w:p>
            <w:pPr>
              <w:pStyle w:val="25"/>
              <w:spacing w:line="360" w:lineRule="auto"/>
              <w:rPr>
                <w:sz w:val="21"/>
                <w:szCs w:val="21"/>
                <w:lang w:eastAsia="en-US"/>
              </w:rPr>
            </w:pPr>
          </w:p>
        </w:tc>
        <w:tc>
          <w:tcPr>
            <w:tcW w:w="941" w:type="dxa"/>
            <w:noWrap w:val="0"/>
            <w:vAlign w:val="top"/>
          </w:tcPr>
          <w:p>
            <w:pPr>
              <w:pStyle w:val="25"/>
              <w:spacing w:line="360" w:lineRule="auto"/>
              <w:rPr>
                <w:sz w:val="21"/>
                <w:szCs w:val="21"/>
                <w:lang w:eastAsia="en-US"/>
              </w:rPr>
            </w:pPr>
          </w:p>
        </w:tc>
        <w:tc>
          <w:tcPr>
            <w:tcW w:w="669"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672" w:type="dxa"/>
            <w:noWrap w:val="0"/>
            <w:vAlign w:val="top"/>
          </w:tcPr>
          <w:p>
            <w:pPr>
              <w:pStyle w:val="25"/>
              <w:spacing w:line="360" w:lineRule="auto"/>
              <w:ind w:right="264"/>
              <w:jc w:val="right"/>
              <w:rPr>
                <w:sz w:val="21"/>
                <w:szCs w:val="21"/>
                <w:lang w:eastAsia="en-US"/>
              </w:rPr>
            </w:pPr>
            <w:r>
              <w:rPr>
                <w:sz w:val="21"/>
                <w:szCs w:val="21"/>
                <w:lang w:eastAsia="en-US"/>
              </w:rPr>
              <w:t>8</w:t>
            </w:r>
          </w:p>
        </w:tc>
        <w:tc>
          <w:tcPr>
            <w:tcW w:w="1322" w:type="dxa"/>
            <w:noWrap w:val="0"/>
            <w:vAlign w:val="top"/>
          </w:tcPr>
          <w:p>
            <w:pPr>
              <w:pStyle w:val="25"/>
              <w:spacing w:line="360" w:lineRule="auto"/>
              <w:rPr>
                <w:sz w:val="21"/>
                <w:szCs w:val="21"/>
                <w:lang w:eastAsia="en-US"/>
              </w:rPr>
            </w:pPr>
          </w:p>
        </w:tc>
        <w:tc>
          <w:tcPr>
            <w:tcW w:w="1318" w:type="dxa"/>
            <w:noWrap w:val="0"/>
            <w:vAlign w:val="top"/>
          </w:tcPr>
          <w:p>
            <w:pPr>
              <w:pStyle w:val="25"/>
              <w:spacing w:line="360" w:lineRule="auto"/>
              <w:rPr>
                <w:sz w:val="21"/>
                <w:szCs w:val="21"/>
                <w:lang w:eastAsia="en-US"/>
              </w:rPr>
            </w:pPr>
          </w:p>
        </w:tc>
        <w:tc>
          <w:tcPr>
            <w:tcW w:w="1317"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938" w:type="dxa"/>
            <w:noWrap w:val="0"/>
            <w:vAlign w:val="top"/>
          </w:tcPr>
          <w:p>
            <w:pPr>
              <w:pStyle w:val="25"/>
              <w:spacing w:line="360" w:lineRule="auto"/>
              <w:rPr>
                <w:sz w:val="21"/>
                <w:szCs w:val="21"/>
                <w:lang w:eastAsia="en-US"/>
              </w:rPr>
            </w:pPr>
          </w:p>
        </w:tc>
        <w:tc>
          <w:tcPr>
            <w:tcW w:w="941" w:type="dxa"/>
            <w:noWrap w:val="0"/>
            <w:vAlign w:val="top"/>
          </w:tcPr>
          <w:p>
            <w:pPr>
              <w:pStyle w:val="25"/>
              <w:spacing w:line="360" w:lineRule="auto"/>
              <w:rPr>
                <w:sz w:val="21"/>
                <w:szCs w:val="21"/>
                <w:lang w:eastAsia="en-US"/>
              </w:rPr>
            </w:pPr>
          </w:p>
        </w:tc>
        <w:tc>
          <w:tcPr>
            <w:tcW w:w="669"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noWrap w:val="0"/>
            <w:vAlign w:val="top"/>
          </w:tcPr>
          <w:p>
            <w:pPr>
              <w:pStyle w:val="25"/>
              <w:spacing w:line="360" w:lineRule="auto"/>
              <w:ind w:right="264"/>
              <w:jc w:val="right"/>
              <w:rPr>
                <w:sz w:val="21"/>
                <w:szCs w:val="21"/>
                <w:lang w:eastAsia="en-US"/>
              </w:rPr>
            </w:pPr>
            <w:r>
              <w:rPr>
                <w:sz w:val="21"/>
                <w:szCs w:val="21"/>
                <w:lang w:eastAsia="en-US"/>
              </w:rPr>
              <w:t>9</w:t>
            </w:r>
          </w:p>
        </w:tc>
        <w:tc>
          <w:tcPr>
            <w:tcW w:w="1322" w:type="dxa"/>
            <w:noWrap w:val="0"/>
            <w:vAlign w:val="top"/>
          </w:tcPr>
          <w:p>
            <w:pPr>
              <w:pStyle w:val="25"/>
              <w:spacing w:line="360" w:lineRule="auto"/>
              <w:rPr>
                <w:sz w:val="21"/>
                <w:szCs w:val="21"/>
                <w:lang w:eastAsia="en-US"/>
              </w:rPr>
            </w:pPr>
          </w:p>
        </w:tc>
        <w:tc>
          <w:tcPr>
            <w:tcW w:w="1318" w:type="dxa"/>
            <w:noWrap w:val="0"/>
            <w:vAlign w:val="top"/>
          </w:tcPr>
          <w:p>
            <w:pPr>
              <w:pStyle w:val="25"/>
              <w:spacing w:line="360" w:lineRule="auto"/>
              <w:rPr>
                <w:sz w:val="21"/>
                <w:szCs w:val="21"/>
                <w:lang w:eastAsia="en-US"/>
              </w:rPr>
            </w:pPr>
          </w:p>
        </w:tc>
        <w:tc>
          <w:tcPr>
            <w:tcW w:w="1317"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938" w:type="dxa"/>
            <w:noWrap w:val="0"/>
            <w:vAlign w:val="top"/>
          </w:tcPr>
          <w:p>
            <w:pPr>
              <w:pStyle w:val="25"/>
              <w:spacing w:line="360" w:lineRule="auto"/>
              <w:rPr>
                <w:sz w:val="21"/>
                <w:szCs w:val="21"/>
                <w:lang w:eastAsia="en-US"/>
              </w:rPr>
            </w:pPr>
          </w:p>
        </w:tc>
        <w:tc>
          <w:tcPr>
            <w:tcW w:w="941" w:type="dxa"/>
            <w:noWrap w:val="0"/>
            <w:vAlign w:val="top"/>
          </w:tcPr>
          <w:p>
            <w:pPr>
              <w:pStyle w:val="25"/>
              <w:spacing w:line="360" w:lineRule="auto"/>
              <w:rPr>
                <w:sz w:val="21"/>
                <w:szCs w:val="21"/>
                <w:lang w:eastAsia="en-US"/>
              </w:rPr>
            </w:pPr>
          </w:p>
        </w:tc>
        <w:tc>
          <w:tcPr>
            <w:tcW w:w="669"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noWrap w:val="0"/>
            <w:vAlign w:val="top"/>
          </w:tcPr>
          <w:p>
            <w:pPr>
              <w:pStyle w:val="25"/>
              <w:spacing w:line="360" w:lineRule="auto"/>
              <w:rPr>
                <w:sz w:val="21"/>
                <w:szCs w:val="21"/>
                <w:lang w:eastAsia="en-US"/>
              </w:rPr>
            </w:pPr>
          </w:p>
        </w:tc>
        <w:tc>
          <w:tcPr>
            <w:tcW w:w="1322" w:type="dxa"/>
            <w:noWrap w:val="0"/>
            <w:vAlign w:val="top"/>
          </w:tcPr>
          <w:p>
            <w:pPr>
              <w:pStyle w:val="25"/>
              <w:spacing w:before="57" w:line="360" w:lineRule="auto"/>
              <w:ind w:left="107"/>
              <w:rPr>
                <w:sz w:val="21"/>
                <w:szCs w:val="21"/>
                <w:lang w:eastAsia="en-US"/>
              </w:rPr>
            </w:pPr>
            <w:r>
              <w:rPr>
                <w:sz w:val="21"/>
                <w:szCs w:val="21"/>
                <w:lang w:eastAsia="en-US"/>
              </w:rPr>
              <w:t>其他费用</w:t>
            </w:r>
          </w:p>
        </w:tc>
        <w:tc>
          <w:tcPr>
            <w:tcW w:w="1318" w:type="dxa"/>
            <w:noWrap w:val="0"/>
            <w:vAlign w:val="top"/>
          </w:tcPr>
          <w:p>
            <w:pPr>
              <w:pStyle w:val="25"/>
              <w:spacing w:line="360" w:lineRule="auto"/>
              <w:rPr>
                <w:sz w:val="21"/>
                <w:szCs w:val="21"/>
                <w:lang w:eastAsia="en-US"/>
              </w:rPr>
            </w:pPr>
          </w:p>
        </w:tc>
        <w:tc>
          <w:tcPr>
            <w:tcW w:w="1317"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938" w:type="dxa"/>
            <w:noWrap w:val="0"/>
            <w:vAlign w:val="top"/>
          </w:tcPr>
          <w:p>
            <w:pPr>
              <w:pStyle w:val="25"/>
              <w:spacing w:line="360" w:lineRule="auto"/>
              <w:rPr>
                <w:sz w:val="21"/>
                <w:szCs w:val="21"/>
                <w:lang w:eastAsia="en-US"/>
              </w:rPr>
            </w:pPr>
          </w:p>
        </w:tc>
        <w:tc>
          <w:tcPr>
            <w:tcW w:w="941" w:type="dxa"/>
            <w:noWrap w:val="0"/>
            <w:vAlign w:val="top"/>
          </w:tcPr>
          <w:p>
            <w:pPr>
              <w:pStyle w:val="25"/>
              <w:spacing w:line="360" w:lineRule="auto"/>
              <w:rPr>
                <w:sz w:val="21"/>
                <w:szCs w:val="21"/>
                <w:lang w:eastAsia="en-US"/>
              </w:rPr>
            </w:pPr>
          </w:p>
        </w:tc>
        <w:tc>
          <w:tcPr>
            <w:tcW w:w="669"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noWrap w:val="0"/>
            <w:vAlign w:val="top"/>
          </w:tcPr>
          <w:p>
            <w:pPr>
              <w:pStyle w:val="25"/>
              <w:spacing w:line="360" w:lineRule="auto"/>
              <w:rPr>
                <w:sz w:val="21"/>
                <w:szCs w:val="21"/>
                <w:lang w:eastAsia="en-US"/>
              </w:rPr>
            </w:pPr>
          </w:p>
        </w:tc>
        <w:tc>
          <w:tcPr>
            <w:tcW w:w="1322" w:type="dxa"/>
            <w:noWrap w:val="0"/>
            <w:vAlign w:val="top"/>
          </w:tcPr>
          <w:p>
            <w:pPr>
              <w:pStyle w:val="25"/>
              <w:spacing w:line="360" w:lineRule="auto"/>
              <w:ind w:left="107"/>
              <w:rPr>
                <w:sz w:val="21"/>
                <w:szCs w:val="21"/>
                <w:lang w:eastAsia="en-US"/>
              </w:rPr>
            </w:pPr>
            <w:r>
              <w:rPr>
                <w:w w:val="200"/>
                <w:sz w:val="21"/>
                <w:szCs w:val="21"/>
                <w:lang w:eastAsia="en-US"/>
              </w:rPr>
              <w:t>„</w:t>
            </w:r>
          </w:p>
        </w:tc>
        <w:tc>
          <w:tcPr>
            <w:tcW w:w="1318" w:type="dxa"/>
            <w:noWrap w:val="0"/>
            <w:vAlign w:val="top"/>
          </w:tcPr>
          <w:p>
            <w:pPr>
              <w:pStyle w:val="25"/>
              <w:spacing w:line="360" w:lineRule="auto"/>
              <w:rPr>
                <w:sz w:val="21"/>
                <w:szCs w:val="21"/>
                <w:lang w:eastAsia="en-US"/>
              </w:rPr>
            </w:pPr>
          </w:p>
        </w:tc>
        <w:tc>
          <w:tcPr>
            <w:tcW w:w="1317"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938" w:type="dxa"/>
            <w:noWrap w:val="0"/>
            <w:vAlign w:val="top"/>
          </w:tcPr>
          <w:p>
            <w:pPr>
              <w:pStyle w:val="25"/>
              <w:spacing w:line="360" w:lineRule="auto"/>
              <w:rPr>
                <w:sz w:val="21"/>
                <w:szCs w:val="21"/>
                <w:lang w:eastAsia="en-US"/>
              </w:rPr>
            </w:pPr>
          </w:p>
        </w:tc>
        <w:tc>
          <w:tcPr>
            <w:tcW w:w="941" w:type="dxa"/>
            <w:noWrap w:val="0"/>
            <w:vAlign w:val="top"/>
          </w:tcPr>
          <w:p>
            <w:pPr>
              <w:pStyle w:val="25"/>
              <w:spacing w:line="360" w:lineRule="auto"/>
              <w:rPr>
                <w:sz w:val="21"/>
                <w:szCs w:val="21"/>
                <w:lang w:eastAsia="en-US"/>
              </w:rPr>
            </w:pPr>
          </w:p>
        </w:tc>
        <w:tc>
          <w:tcPr>
            <w:tcW w:w="669"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noWrap w:val="0"/>
            <w:vAlign w:val="top"/>
          </w:tcPr>
          <w:p>
            <w:pPr>
              <w:pStyle w:val="25"/>
              <w:spacing w:line="360" w:lineRule="auto"/>
              <w:rPr>
                <w:sz w:val="21"/>
                <w:szCs w:val="21"/>
                <w:lang w:eastAsia="en-US"/>
              </w:rPr>
            </w:pPr>
          </w:p>
        </w:tc>
        <w:tc>
          <w:tcPr>
            <w:tcW w:w="1322" w:type="dxa"/>
            <w:noWrap w:val="0"/>
            <w:vAlign w:val="top"/>
          </w:tcPr>
          <w:p>
            <w:pPr>
              <w:pStyle w:val="25"/>
              <w:spacing w:line="360" w:lineRule="auto"/>
              <w:ind w:left="107"/>
              <w:rPr>
                <w:sz w:val="21"/>
                <w:szCs w:val="21"/>
                <w:lang w:eastAsia="en-US"/>
              </w:rPr>
            </w:pPr>
            <w:r>
              <w:rPr>
                <w:w w:val="200"/>
                <w:sz w:val="21"/>
                <w:szCs w:val="21"/>
                <w:lang w:eastAsia="en-US"/>
              </w:rPr>
              <w:t>„</w:t>
            </w:r>
          </w:p>
        </w:tc>
        <w:tc>
          <w:tcPr>
            <w:tcW w:w="1318" w:type="dxa"/>
            <w:noWrap w:val="0"/>
            <w:vAlign w:val="top"/>
          </w:tcPr>
          <w:p>
            <w:pPr>
              <w:pStyle w:val="25"/>
              <w:spacing w:line="360" w:lineRule="auto"/>
              <w:rPr>
                <w:sz w:val="21"/>
                <w:szCs w:val="21"/>
                <w:lang w:eastAsia="en-US"/>
              </w:rPr>
            </w:pPr>
          </w:p>
        </w:tc>
        <w:tc>
          <w:tcPr>
            <w:tcW w:w="1317"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938" w:type="dxa"/>
            <w:noWrap w:val="0"/>
            <w:vAlign w:val="top"/>
          </w:tcPr>
          <w:p>
            <w:pPr>
              <w:pStyle w:val="25"/>
              <w:spacing w:line="360" w:lineRule="auto"/>
              <w:rPr>
                <w:sz w:val="21"/>
                <w:szCs w:val="21"/>
                <w:lang w:eastAsia="en-US"/>
              </w:rPr>
            </w:pPr>
          </w:p>
        </w:tc>
        <w:tc>
          <w:tcPr>
            <w:tcW w:w="941" w:type="dxa"/>
            <w:noWrap w:val="0"/>
            <w:vAlign w:val="top"/>
          </w:tcPr>
          <w:p>
            <w:pPr>
              <w:pStyle w:val="25"/>
              <w:spacing w:line="360" w:lineRule="auto"/>
              <w:rPr>
                <w:sz w:val="21"/>
                <w:szCs w:val="21"/>
                <w:lang w:eastAsia="en-US"/>
              </w:rPr>
            </w:pPr>
          </w:p>
        </w:tc>
        <w:tc>
          <w:tcPr>
            <w:tcW w:w="669"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noWrap w:val="0"/>
            <w:vAlign w:val="top"/>
          </w:tcPr>
          <w:p>
            <w:pPr>
              <w:pStyle w:val="25"/>
              <w:spacing w:line="360" w:lineRule="auto"/>
              <w:rPr>
                <w:sz w:val="21"/>
                <w:szCs w:val="21"/>
                <w:lang w:eastAsia="en-US"/>
              </w:rPr>
            </w:pPr>
          </w:p>
        </w:tc>
        <w:tc>
          <w:tcPr>
            <w:tcW w:w="1322" w:type="dxa"/>
            <w:noWrap w:val="0"/>
            <w:vAlign w:val="top"/>
          </w:tcPr>
          <w:p>
            <w:pPr>
              <w:pStyle w:val="25"/>
              <w:spacing w:line="360" w:lineRule="auto"/>
              <w:ind w:left="107"/>
              <w:rPr>
                <w:sz w:val="21"/>
                <w:szCs w:val="21"/>
                <w:lang w:eastAsia="en-US"/>
              </w:rPr>
            </w:pPr>
            <w:r>
              <w:rPr>
                <w:w w:val="200"/>
                <w:sz w:val="21"/>
                <w:szCs w:val="21"/>
                <w:lang w:eastAsia="en-US"/>
              </w:rPr>
              <w:t>„</w:t>
            </w:r>
          </w:p>
        </w:tc>
        <w:tc>
          <w:tcPr>
            <w:tcW w:w="1318" w:type="dxa"/>
            <w:noWrap w:val="0"/>
            <w:vAlign w:val="top"/>
          </w:tcPr>
          <w:p>
            <w:pPr>
              <w:pStyle w:val="25"/>
              <w:spacing w:line="360" w:lineRule="auto"/>
              <w:rPr>
                <w:sz w:val="21"/>
                <w:szCs w:val="21"/>
                <w:lang w:eastAsia="en-US"/>
              </w:rPr>
            </w:pPr>
          </w:p>
        </w:tc>
        <w:tc>
          <w:tcPr>
            <w:tcW w:w="1317"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938" w:type="dxa"/>
            <w:noWrap w:val="0"/>
            <w:vAlign w:val="top"/>
          </w:tcPr>
          <w:p>
            <w:pPr>
              <w:pStyle w:val="25"/>
              <w:spacing w:line="360" w:lineRule="auto"/>
              <w:rPr>
                <w:sz w:val="21"/>
                <w:szCs w:val="21"/>
                <w:lang w:eastAsia="en-US"/>
              </w:rPr>
            </w:pPr>
          </w:p>
        </w:tc>
        <w:tc>
          <w:tcPr>
            <w:tcW w:w="941" w:type="dxa"/>
            <w:noWrap w:val="0"/>
            <w:vAlign w:val="top"/>
          </w:tcPr>
          <w:p>
            <w:pPr>
              <w:pStyle w:val="25"/>
              <w:spacing w:line="360" w:lineRule="auto"/>
              <w:rPr>
                <w:sz w:val="21"/>
                <w:szCs w:val="21"/>
                <w:lang w:eastAsia="en-US"/>
              </w:rPr>
            </w:pPr>
          </w:p>
        </w:tc>
        <w:tc>
          <w:tcPr>
            <w:tcW w:w="669"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994" w:type="dxa"/>
            <w:gridSpan w:val="2"/>
            <w:noWrap w:val="0"/>
            <w:vAlign w:val="top"/>
          </w:tcPr>
          <w:p>
            <w:pPr>
              <w:pStyle w:val="25"/>
              <w:spacing w:before="55" w:line="360" w:lineRule="auto"/>
              <w:ind w:left="395"/>
              <w:rPr>
                <w:sz w:val="21"/>
                <w:szCs w:val="21"/>
                <w:lang w:eastAsia="en-US"/>
              </w:rPr>
            </w:pPr>
            <w:r>
              <w:rPr>
                <w:sz w:val="21"/>
                <w:szCs w:val="21"/>
                <w:lang w:eastAsia="en-US"/>
              </w:rPr>
              <w:t>合计（元）</w:t>
            </w:r>
          </w:p>
        </w:tc>
        <w:tc>
          <w:tcPr>
            <w:tcW w:w="1318" w:type="dxa"/>
            <w:noWrap w:val="0"/>
            <w:vAlign w:val="top"/>
          </w:tcPr>
          <w:p>
            <w:pPr>
              <w:pStyle w:val="25"/>
              <w:spacing w:line="360" w:lineRule="auto"/>
              <w:rPr>
                <w:sz w:val="21"/>
                <w:szCs w:val="21"/>
                <w:lang w:eastAsia="en-US"/>
              </w:rPr>
            </w:pPr>
          </w:p>
        </w:tc>
        <w:tc>
          <w:tcPr>
            <w:tcW w:w="1317"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672" w:type="dxa"/>
            <w:noWrap w:val="0"/>
            <w:vAlign w:val="top"/>
          </w:tcPr>
          <w:p>
            <w:pPr>
              <w:pStyle w:val="25"/>
              <w:spacing w:line="360" w:lineRule="auto"/>
              <w:rPr>
                <w:sz w:val="21"/>
                <w:szCs w:val="21"/>
                <w:lang w:eastAsia="en-US"/>
              </w:rPr>
            </w:pPr>
          </w:p>
        </w:tc>
        <w:tc>
          <w:tcPr>
            <w:tcW w:w="938" w:type="dxa"/>
            <w:noWrap w:val="0"/>
            <w:vAlign w:val="top"/>
          </w:tcPr>
          <w:p>
            <w:pPr>
              <w:pStyle w:val="25"/>
              <w:spacing w:line="360" w:lineRule="auto"/>
              <w:rPr>
                <w:sz w:val="21"/>
                <w:szCs w:val="21"/>
                <w:lang w:eastAsia="en-US"/>
              </w:rPr>
            </w:pPr>
          </w:p>
        </w:tc>
        <w:tc>
          <w:tcPr>
            <w:tcW w:w="941" w:type="dxa"/>
            <w:noWrap w:val="0"/>
            <w:vAlign w:val="top"/>
          </w:tcPr>
          <w:p>
            <w:pPr>
              <w:pStyle w:val="25"/>
              <w:spacing w:line="360" w:lineRule="auto"/>
              <w:rPr>
                <w:sz w:val="21"/>
                <w:szCs w:val="21"/>
                <w:lang w:eastAsia="en-US"/>
              </w:rPr>
            </w:pPr>
          </w:p>
        </w:tc>
        <w:tc>
          <w:tcPr>
            <w:tcW w:w="669" w:type="dxa"/>
            <w:noWrap w:val="0"/>
            <w:vAlign w:val="top"/>
          </w:tcPr>
          <w:p>
            <w:pPr>
              <w:pStyle w:val="25"/>
              <w:spacing w:line="360" w:lineRule="auto"/>
              <w:rPr>
                <w:sz w:val="21"/>
                <w:szCs w:val="21"/>
                <w:lang w:eastAsia="en-US"/>
              </w:rPr>
            </w:pPr>
          </w:p>
        </w:tc>
      </w:tr>
    </w:tbl>
    <w:p>
      <w:pPr>
        <w:pStyle w:val="11"/>
        <w:spacing w:before="5" w:line="360" w:lineRule="auto"/>
        <w:rPr>
          <w:b/>
          <w:sz w:val="21"/>
          <w:szCs w:val="21"/>
        </w:rPr>
      </w:pPr>
    </w:p>
    <w:p>
      <w:pPr>
        <w:spacing w:line="360" w:lineRule="auto"/>
        <w:rPr>
          <w:rFonts w:ascii="宋体" w:hAnsi="宋体"/>
        </w:rPr>
        <w:sectPr>
          <w:pgSz w:w="11910" w:h="16840"/>
          <w:pgMar w:top="1400" w:right="1240" w:bottom="1220" w:left="1240" w:header="877" w:footer="1033" w:gutter="0"/>
          <w:pgNumType w:fmt="decimal"/>
          <w:cols w:space="720" w:num="1"/>
        </w:sectPr>
      </w:pPr>
    </w:p>
    <w:p>
      <w:pPr>
        <w:pStyle w:val="11"/>
        <w:spacing w:line="360" w:lineRule="auto"/>
        <w:rPr>
          <w:b/>
          <w:sz w:val="21"/>
          <w:szCs w:val="21"/>
        </w:rPr>
      </w:pPr>
    </w:p>
    <w:p>
      <w:pPr>
        <w:pStyle w:val="11"/>
        <w:spacing w:line="360" w:lineRule="auto"/>
        <w:rPr>
          <w:b/>
          <w:sz w:val="21"/>
          <w:szCs w:val="21"/>
        </w:rPr>
      </w:pPr>
    </w:p>
    <w:p>
      <w:pPr>
        <w:pStyle w:val="11"/>
        <w:spacing w:before="9" w:line="360" w:lineRule="auto"/>
        <w:rPr>
          <w:b/>
          <w:sz w:val="21"/>
          <w:szCs w:val="21"/>
        </w:rPr>
      </w:pPr>
    </w:p>
    <w:p>
      <w:pPr>
        <w:rPr>
          <w:b/>
        </w:rPr>
      </w:pPr>
      <w:r>
        <w:rPr>
          <w:b/>
        </w:rPr>
        <w:t>备注：</w:t>
      </w:r>
    </w:p>
    <w:p>
      <w:pPr>
        <w:pStyle w:val="11"/>
        <w:tabs>
          <w:tab w:val="left" w:pos="1280"/>
          <w:tab w:val="left" w:pos="4362"/>
        </w:tabs>
        <w:spacing w:before="10" w:line="360" w:lineRule="auto"/>
        <w:ind w:left="560" w:right="501"/>
        <w:rPr>
          <w:sz w:val="21"/>
          <w:szCs w:val="21"/>
        </w:rPr>
      </w:pPr>
      <w:r>
        <w:rPr>
          <w:sz w:val="21"/>
          <w:szCs w:val="21"/>
        </w:rPr>
        <w:br w:type="column"/>
      </w:r>
      <w:r>
        <w:rPr>
          <w:sz w:val="21"/>
          <w:szCs w:val="21"/>
        </w:rPr>
        <w:t>供应商</w:t>
      </w:r>
      <w:r>
        <w:rPr>
          <w:rFonts w:hint="eastAsia"/>
          <w:sz w:val="21"/>
          <w:szCs w:val="21"/>
          <w:lang w:eastAsia="zh-CN"/>
        </w:rPr>
        <w:t>签章</w:t>
      </w:r>
      <w:r>
        <w:rPr>
          <w:sz w:val="21"/>
          <w:szCs w:val="21"/>
        </w:rPr>
        <w:t>：</w:t>
      </w:r>
      <w:r>
        <w:rPr>
          <w:sz w:val="21"/>
          <w:szCs w:val="21"/>
          <w:u w:val="single"/>
        </w:rPr>
        <w:t xml:space="preserve"> </w:t>
      </w:r>
      <w:r>
        <w:rPr>
          <w:sz w:val="21"/>
          <w:szCs w:val="21"/>
          <w:u w:val="single"/>
        </w:rPr>
        <w:tab/>
      </w:r>
      <w:r>
        <w:rPr>
          <w:sz w:val="21"/>
          <w:szCs w:val="21"/>
          <w:u w:val="single"/>
        </w:rPr>
        <w:t xml:space="preserve"> </w:t>
      </w:r>
      <w:r>
        <w:rPr>
          <w:sz w:val="21"/>
          <w:szCs w:val="21"/>
        </w:rPr>
        <w:t>日</w:t>
      </w:r>
      <w:r>
        <w:rPr>
          <w:sz w:val="21"/>
          <w:szCs w:val="21"/>
        </w:rPr>
        <w:tab/>
      </w:r>
      <w:r>
        <w:rPr>
          <w:sz w:val="21"/>
          <w:szCs w:val="21"/>
        </w:rPr>
        <w:t>期：</w:t>
      </w:r>
      <w:r>
        <w:rPr>
          <w:sz w:val="21"/>
          <w:szCs w:val="21"/>
          <w:u w:val="single"/>
        </w:rPr>
        <w:t xml:space="preserve"> </w:t>
      </w:r>
      <w:r>
        <w:rPr>
          <w:sz w:val="21"/>
          <w:szCs w:val="21"/>
          <w:u w:val="single"/>
        </w:rPr>
        <w:tab/>
      </w:r>
    </w:p>
    <w:p>
      <w:pPr>
        <w:spacing w:line="360" w:lineRule="auto"/>
        <w:rPr>
          <w:rFonts w:ascii="宋体" w:hAnsi="宋体"/>
        </w:rPr>
        <w:sectPr>
          <w:type w:val="continuous"/>
          <w:pgSz w:w="11910" w:h="16840"/>
          <w:pgMar w:top="1400" w:right="1240" w:bottom="280" w:left="1240" w:header="720" w:footer="720" w:gutter="0"/>
          <w:pgNumType w:fmt="decimal"/>
          <w:cols w:equalWidth="0" w:num="2">
            <w:col w:w="1323" w:space="3238"/>
            <w:col w:w="4869"/>
          </w:cols>
        </w:sectPr>
      </w:pPr>
    </w:p>
    <w:p>
      <w:pPr>
        <w:pStyle w:val="11"/>
        <w:spacing w:before="10" w:line="360" w:lineRule="auto"/>
        <w:rPr>
          <w:sz w:val="21"/>
          <w:szCs w:val="21"/>
        </w:rPr>
      </w:pPr>
    </w:p>
    <w:p>
      <w:pPr>
        <w:pStyle w:val="26"/>
        <w:numPr>
          <w:ilvl w:val="2"/>
          <w:numId w:val="25"/>
        </w:numPr>
        <w:tabs>
          <w:tab w:val="left" w:pos="1238"/>
        </w:tabs>
        <w:autoSpaceDE w:val="0"/>
        <w:autoSpaceDN w:val="0"/>
        <w:spacing w:before="66" w:line="360" w:lineRule="auto"/>
        <w:ind w:right="437" w:firstLine="434" w:firstLineChars="0"/>
        <w:rPr>
          <w:rFonts w:ascii="宋体" w:hAnsi="宋体"/>
          <w:szCs w:val="21"/>
        </w:rPr>
      </w:pPr>
      <w:r>
        <w:rPr>
          <w:rFonts w:ascii="宋体" w:hAnsi="宋体"/>
          <w:szCs w:val="21"/>
        </w:rPr>
        <w:t>表中所列货物为对应本项目需求的全部货物及所需附件购置费、包装费、运输费、人工费、保险费、安装调试费、各种税费、资料费、售后服务费及完成项目应有的全部费用。如有漏项或缺项，供应商承担全部责任。</w:t>
      </w:r>
    </w:p>
    <w:p>
      <w:pPr>
        <w:pStyle w:val="26"/>
        <w:numPr>
          <w:ilvl w:val="2"/>
          <w:numId w:val="25"/>
        </w:numPr>
        <w:tabs>
          <w:tab w:val="left" w:pos="1236"/>
        </w:tabs>
        <w:autoSpaceDE w:val="0"/>
        <w:autoSpaceDN w:val="0"/>
        <w:spacing w:before="2" w:line="360" w:lineRule="auto"/>
        <w:ind w:right="561" w:firstLine="434" w:firstLineChars="0"/>
        <w:rPr>
          <w:rFonts w:ascii="宋体" w:hAnsi="宋体"/>
          <w:szCs w:val="21"/>
        </w:rPr>
      </w:pPr>
      <w:r>
        <w:rPr>
          <w:rFonts w:ascii="宋体" w:hAnsi="宋体"/>
          <w:szCs w:val="21"/>
        </w:rPr>
        <w:t>表中须明确列出所投产品的货物名称、品牌、型号规格、原产地及生产厂商，否则可能导致</w:t>
      </w:r>
      <w:r>
        <w:rPr>
          <w:rFonts w:ascii="宋体" w:hAnsi="宋体"/>
          <w:b/>
          <w:szCs w:val="21"/>
        </w:rPr>
        <w:t>响应无效</w:t>
      </w:r>
      <w:r>
        <w:rPr>
          <w:rFonts w:ascii="宋体" w:hAnsi="宋体"/>
          <w:szCs w:val="21"/>
        </w:rPr>
        <w:t>。</w:t>
      </w:r>
    </w:p>
    <w:p>
      <w:pPr>
        <w:spacing w:line="360" w:lineRule="auto"/>
        <w:rPr>
          <w:rFonts w:ascii="宋体" w:hAnsi="宋体"/>
        </w:rPr>
        <w:sectPr>
          <w:type w:val="continuous"/>
          <w:pgSz w:w="11910" w:h="16840"/>
          <w:pgMar w:top="1400" w:right="1240" w:bottom="280" w:left="1240" w:header="720" w:footer="720" w:gutter="0"/>
          <w:pgNumType w:fmt="decimal"/>
          <w:cols w:space="720" w:num="1"/>
        </w:sectPr>
      </w:pPr>
    </w:p>
    <w:p>
      <w:pPr>
        <w:pStyle w:val="8"/>
        <w:keepNext w:val="0"/>
        <w:keepLines w:val="0"/>
        <w:autoSpaceDE w:val="0"/>
        <w:autoSpaceDN w:val="0"/>
        <w:spacing w:before="104" w:after="0" w:line="360" w:lineRule="auto"/>
        <w:ind w:left="1367" w:right="1503"/>
        <w:jc w:val="center"/>
        <w:rPr>
          <w:rFonts w:ascii="宋体" w:hAnsi="宋体" w:cs="宋体"/>
          <w:kern w:val="0"/>
          <w:sz w:val="21"/>
          <w:szCs w:val="21"/>
          <w:lang w:val="zh-CN" w:bidi="zh-CN"/>
        </w:rPr>
      </w:pPr>
      <w:r>
        <w:rPr>
          <w:rFonts w:ascii="宋体" w:hAnsi="宋体" w:cs="宋体"/>
          <w:kern w:val="0"/>
          <w:sz w:val="21"/>
          <w:szCs w:val="21"/>
          <w:lang w:val="zh-CN" w:bidi="zh-CN"/>
        </w:rPr>
        <w:t>二、最后承诺报价表</w:t>
      </w:r>
    </w:p>
    <w:p>
      <w:pPr>
        <w:pStyle w:val="11"/>
        <w:spacing w:before="7" w:line="360" w:lineRule="auto"/>
        <w:rPr>
          <w:b/>
          <w:sz w:val="21"/>
          <w:szCs w:val="21"/>
        </w:rPr>
      </w:pPr>
    </w:p>
    <w:p>
      <w:pPr>
        <w:autoSpaceDE w:val="0"/>
        <w:autoSpaceDN w:val="0"/>
        <w:spacing w:line="360" w:lineRule="auto"/>
        <w:jc w:val="center"/>
        <w:rPr>
          <w:rFonts w:ascii="宋体" w:hAnsi="宋体" w:cs="宋体"/>
          <w:b/>
          <w:kern w:val="0"/>
          <w:lang w:val="zh-CN" w:bidi="zh-CN"/>
        </w:rPr>
      </w:pPr>
      <w:r>
        <w:rPr>
          <w:rFonts w:ascii="宋体" w:hAnsi="宋体" w:cs="宋体"/>
          <w:b/>
          <w:kern w:val="0"/>
          <w:lang w:val="zh-CN" w:bidi="zh-CN"/>
        </w:rPr>
        <w:t xml:space="preserve">（某项目第 </w:t>
      </w:r>
      <w:r>
        <w:rPr>
          <w:rFonts w:ascii="宋体" w:hAnsi="宋体" w:cs="宋体"/>
          <w:b/>
          <w:kern w:val="0"/>
          <w:lang w:val="zh-CN" w:bidi="zh-CN"/>
        </w:rPr>
        <w:tab/>
      </w:r>
      <w:r>
        <w:rPr>
          <w:rFonts w:ascii="宋体" w:hAnsi="宋体" w:cs="宋体"/>
          <w:b/>
          <w:kern w:val="0"/>
          <w:lang w:val="zh-CN" w:bidi="zh-CN"/>
        </w:rPr>
        <w:t>次报价书）</w:t>
      </w:r>
    </w:p>
    <w:p>
      <w:pPr>
        <w:autoSpaceDE w:val="0"/>
        <w:autoSpaceDN w:val="0"/>
        <w:spacing w:line="360" w:lineRule="auto"/>
        <w:ind w:left="29" w:leftChars="14" w:firstLine="211" w:firstLineChars="100"/>
        <w:jc w:val="left"/>
        <w:rPr>
          <w:rFonts w:ascii="宋体" w:hAnsi="宋体" w:cs="宋体"/>
          <w:b/>
          <w:kern w:val="0"/>
          <w:lang w:val="zh-CN" w:bidi="zh-CN"/>
        </w:rPr>
      </w:pPr>
      <w:r>
        <w:rPr>
          <w:rFonts w:ascii="宋体" w:hAnsi="宋体" w:cs="宋体"/>
          <w:b/>
          <w:kern w:val="0"/>
          <w:lang w:val="zh-CN" w:bidi="zh-CN"/>
        </w:rPr>
        <w:t>项目名称：</w:t>
      </w:r>
      <w:r>
        <w:rPr>
          <w:rFonts w:ascii="宋体" w:hAnsi="宋体" w:cs="宋体"/>
          <w:b/>
          <w:kern w:val="0"/>
          <w:u w:val="single"/>
          <w:lang w:val="zh-CN" w:bidi="zh-CN"/>
        </w:rPr>
        <w:t xml:space="preserve"> </w:t>
      </w:r>
      <w:r>
        <w:rPr>
          <w:rFonts w:hint="eastAsia" w:ascii="宋体" w:hAnsi="宋体" w:cs="宋体"/>
          <w:b/>
          <w:kern w:val="0"/>
          <w:u w:val="single"/>
          <w:lang w:val="zh-CN" w:bidi="zh-CN"/>
        </w:rPr>
        <w:t xml:space="preserve"> </w:t>
      </w:r>
      <w:r>
        <w:rPr>
          <w:rFonts w:ascii="宋体" w:hAnsi="宋体" w:cs="宋体"/>
          <w:b/>
          <w:kern w:val="0"/>
          <w:u w:val="single"/>
          <w:lang w:val="zh-CN" w:bidi="zh-CN"/>
        </w:rPr>
        <w:tab/>
      </w:r>
      <w:r>
        <w:rPr>
          <w:rFonts w:ascii="宋体" w:hAnsi="宋体" w:cs="宋体"/>
          <w:b/>
          <w:kern w:val="0"/>
          <w:u w:val="single"/>
          <w:lang w:val="zh-CN" w:bidi="zh-CN"/>
        </w:rPr>
        <w:t xml:space="preserve">     </w:t>
      </w:r>
      <w:r>
        <w:rPr>
          <w:rFonts w:hint="eastAsia" w:ascii="宋体" w:hAnsi="宋体" w:cs="宋体"/>
          <w:b/>
          <w:kern w:val="0"/>
          <w:u w:val="single"/>
          <w:lang w:val="zh-CN" w:bidi="zh-CN"/>
        </w:rPr>
        <w:t xml:space="preserve">           </w:t>
      </w:r>
    </w:p>
    <w:p>
      <w:pPr>
        <w:autoSpaceDE w:val="0"/>
        <w:autoSpaceDN w:val="0"/>
        <w:spacing w:line="360" w:lineRule="auto"/>
        <w:ind w:left="29" w:leftChars="14" w:firstLine="211" w:firstLineChars="100"/>
        <w:jc w:val="left"/>
        <w:rPr>
          <w:rFonts w:ascii="宋体" w:hAnsi="宋体" w:cs="宋体"/>
          <w:b/>
          <w:kern w:val="0"/>
          <w:lang w:val="zh-CN" w:bidi="zh-CN"/>
        </w:rPr>
      </w:pPr>
      <w:r>
        <w:rPr>
          <w:rFonts w:ascii="宋体" w:hAnsi="宋体" w:cs="宋体"/>
          <w:b/>
          <w:kern w:val="0"/>
          <w:lang w:val="zh-CN" w:bidi="zh-CN"/>
        </w:rPr>
        <w:t>项目编号：</w:t>
      </w:r>
      <w:r>
        <w:rPr>
          <w:rFonts w:ascii="宋体" w:hAnsi="宋体" w:cs="宋体"/>
          <w:b/>
          <w:kern w:val="0"/>
          <w:u w:val="single"/>
          <w:lang w:val="zh-CN" w:bidi="zh-CN"/>
        </w:rPr>
        <w:t xml:space="preserve"> </w:t>
      </w:r>
      <w:r>
        <w:rPr>
          <w:rFonts w:hint="eastAsia" w:ascii="宋体" w:hAnsi="宋体" w:cs="宋体"/>
          <w:b/>
          <w:kern w:val="0"/>
          <w:u w:val="single"/>
          <w:lang w:val="zh-CN" w:bidi="zh-CN"/>
        </w:rPr>
        <w:t xml:space="preserve"> </w:t>
      </w:r>
      <w:r>
        <w:rPr>
          <w:rFonts w:ascii="宋体" w:hAnsi="宋体" w:cs="宋体"/>
          <w:b/>
          <w:kern w:val="0"/>
          <w:u w:val="single"/>
          <w:lang w:val="zh-CN" w:bidi="zh-CN"/>
        </w:rPr>
        <w:tab/>
      </w:r>
      <w:r>
        <w:rPr>
          <w:rFonts w:hint="eastAsia" w:ascii="宋体" w:hAnsi="宋体" w:cs="宋体"/>
          <w:b/>
          <w:kern w:val="0"/>
          <w:u w:val="single"/>
          <w:lang w:val="zh-CN" w:bidi="zh-CN"/>
        </w:rPr>
        <w:t xml:space="preserve">                </w:t>
      </w:r>
    </w:p>
    <w:p/>
    <w:tbl>
      <w:tblPr>
        <w:tblStyle w:val="19"/>
        <w:tblW w:w="8525" w:type="dxa"/>
        <w:tblInd w:w="4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1"/>
        <w:gridCol w:w="60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2461" w:type="dxa"/>
            <w:noWrap w:val="0"/>
            <w:vAlign w:val="top"/>
          </w:tcPr>
          <w:p>
            <w:pPr>
              <w:pStyle w:val="25"/>
              <w:spacing w:before="177" w:line="360" w:lineRule="auto"/>
              <w:ind w:left="243" w:right="238"/>
              <w:jc w:val="center"/>
              <w:rPr>
                <w:b/>
                <w:sz w:val="21"/>
                <w:szCs w:val="21"/>
                <w:lang w:eastAsia="en-US"/>
              </w:rPr>
            </w:pPr>
            <w:r>
              <w:rPr>
                <w:b/>
                <w:sz w:val="21"/>
                <w:szCs w:val="21"/>
                <w:lang w:eastAsia="en-US"/>
              </w:rPr>
              <w:t>供应商名称</w:t>
            </w:r>
          </w:p>
        </w:tc>
        <w:tc>
          <w:tcPr>
            <w:tcW w:w="6064"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2461" w:type="dxa"/>
            <w:noWrap w:val="0"/>
            <w:vAlign w:val="top"/>
          </w:tcPr>
          <w:p>
            <w:pPr>
              <w:pStyle w:val="25"/>
              <w:spacing w:line="360" w:lineRule="auto"/>
              <w:rPr>
                <w:b/>
                <w:sz w:val="21"/>
                <w:szCs w:val="21"/>
                <w:lang w:eastAsia="en-US"/>
              </w:rPr>
            </w:pPr>
          </w:p>
          <w:p>
            <w:pPr>
              <w:pStyle w:val="25"/>
              <w:spacing w:before="1" w:line="360" w:lineRule="auto"/>
              <w:ind w:left="245" w:right="237"/>
              <w:jc w:val="center"/>
              <w:rPr>
                <w:b/>
                <w:sz w:val="21"/>
                <w:szCs w:val="21"/>
                <w:lang w:eastAsia="en-US"/>
              </w:rPr>
            </w:pPr>
            <w:r>
              <w:rPr>
                <w:b/>
                <w:sz w:val="21"/>
                <w:szCs w:val="21"/>
                <w:lang w:eastAsia="en-US"/>
              </w:rPr>
              <w:t>磋商范围</w:t>
            </w:r>
          </w:p>
        </w:tc>
        <w:tc>
          <w:tcPr>
            <w:tcW w:w="6064" w:type="dxa"/>
            <w:noWrap w:val="0"/>
            <w:vAlign w:val="top"/>
          </w:tcPr>
          <w:p>
            <w:pPr>
              <w:pStyle w:val="25"/>
              <w:spacing w:line="360" w:lineRule="auto"/>
              <w:rPr>
                <w:b/>
                <w:sz w:val="21"/>
                <w:szCs w:val="21"/>
                <w:lang w:eastAsia="en-US"/>
              </w:rPr>
            </w:pPr>
          </w:p>
          <w:p>
            <w:pPr>
              <w:pStyle w:val="25"/>
              <w:tabs>
                <w:tab w:val="left" w:pos="1547"/>
              </w:tabs>
              <w:spacing w:before="1" w:line="360" w:lineRule="auto"/>
              <w:ind w:left="107"/>
              <w:rPr>
                <w:sz w:val="21"/>
                <w:szCs w:val="21"/>
                <w:lang w:eastAsia="en-US"/>
              </w:rPr>
            </w:pPr>
            <w:r>
              <w:rPr>
                <w:sz w:val="21"/>
                <w:szCs w:val="21"/>
                <w:lang w:eastAsia="en-US"/>
              </w:rPr>
              <w:t>全部 / 第</w:t>
            </w:r>
            <w:r>
              <w:rPr>
                <w:sz w:val="21"/>
                <w:szCs w:val="21"/>
                <w:u w:val="single"/>
                <w:lang w:eastAsia="en-US"/>
              </w:rPr>
              <w:t xml:space="preserve"> </w:t>
            </w:r>
            <w:r>
              <w:rPr>
                <w:sz w:val="21"/>
                <w:szCs w:val="21"/>
                <w:u w:val="single"/>
                <w:lang w:eastAsia="en-US"/>
              </w:rPr>
              <w:tab/>
            </w:r>
            <w:r>
              <w:rPr>
                <w:sz w:val="21"/>
                <w:szCs w:val="21"/>
                <w:lang w:eastAsia="en-US"/>
              </w:rPr>
              <w:t>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1" w:hRule="atLeast"/>
        </w:trPr>
        <w:tc>
          <w:tcPr>
            <w:tcW w:w="2461" w:type="dxa"/>
            <w:noWrap w:val="0"/>
            <w:vAlign w:val="center"/>
          </w:tcPr>
          <w:p>
            <w:pPr>
              <w:pStyle w:val="25"/>
              <w:spacing w:before="7" w:line="360" w:lineRule="auto"/>
              <w:jc w:val="center"/>
              <w:rPr>
                <w:b/>
                <w:sz w:val="21"/>
                <w:szCs w:val="21"/>
                <w:lang w:eastAsia="en-US"/>
              </w:rPr>
            </w:pPr>
            <w:r>
              <w:rPr>
                <w:b/>
                <w:sz w:val="21"/>
                <w:szCs w:val="21"/>
                <w:lang w:eastAsia="en-US"/>
              </w:rPr>
              <w:t>磋商</w:t>
            </w:r>
            <w:r>
              <w:rPr>
                <w:rFonts w:hint="eastAsia"/>
                <w:b/>
                <w:sz w:val="21"/>
                <w:szCs w:val="21"/>
                <w:lang w:eastAsia="en-US"/>
              </w:rPr>
              <w:t>内容</w:t>
            </w:r>
          </w:p>
        </w:tc>
        <w:tc>
          <w:tcPr>
            <w:tcW w:w="6064" w:type="dxa"/>
            <w:noWrap w:val="0"/>
            <w:vAlign w:val="center"/>
          </w:tcPr>
          <w:p>
            <w:pPr>
              <w:pStyle w:val="25"/>
              <w:spacing w:line="360" w:lineRule="auto"/>
              <w:jc w:val="center"/>
              <w:rPr>
                <w:b/>
                <w:sz w:val="21"/>
                <w:szCs w:val="21"/>
                <w:lang w:eastAsia="en-US"/>
              </w:rPr>
            </w:pPr>
            <w:r>
              <w:rPr>
                <w:rFonts w:hint="eastAsia"/>
                <w:b/>
                <w:sz w:val="21"/>
                <w:szCs w:val="21"/>
              </w:rPr>
              <w:t>（此内容由</w:t>
            </w:r>
            <w:r>
              <w:rPr>
                <w:b/>
                <w:sz w:val="21"/>
                <w:szCs w:val="21"/>
              </w:rPr>
              <w:t>磋商</w:t>
            </w:r>
            <w:r>
              <w:rPr>
                <w:rFonts w:hint="eastAsia"/>
                <w:b/>
                <w:sz w:val="21"/>
                <w:szCs w:val="21"/>
              </w:rPr>
              <w:t>小组根据项目需求据实填写，如不对原文件内容进行修改，此项填“无”。）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1" w:hRule="atLeast"/>
        </w:trPr>
        <w:tc>
          <w:tcPr>
            <w:tcW w:w="2461" w:type="dxa"/>
            <w:noWrap w:val="0"/>
            <w:vAlign w:val="top"/>
          </w:tcPr>
          <w:p>
            <w:pPr>
              <w:pStyle w:val="25"/>
              <w:spacing w:before="9" w:line="360" w:lineRule="auto"/>
              <w:rPr>
                <w:b/>
                <w:sz w:val="21"/>
                <w:szCs w:val="21"/>
              </w:rPr>
            </w:pPr>
          </w:p>
          <w:p>
            <w:pPr>
              <w:pStyle w:val="25"/>
              <w:spacing w:line="360" w:lineRule="auto"/>
              <w:ind w:left="243" w:right="238"/>
              <w:jc w:val="center"/>
              <w:rPr>
                <w:b/>
                <w:sz w:val="21"/>
                <w:szCs w:val="21"/>
              </w:rPr>
            </w:pPr>
            <w:r>
              <w:rPr>
                <w:b/>
                <w:sz w:val="21"/>
                <w:szCs w:val="21"/>
              </w:rPr>
              <w:t>最后报价</w:t>
            </w:r>
          </w:p>
          <w:p>
            <w:pPr>
              <w:pStyle w:val="25"/>
              <w:spacing w:before="161" w:line="360" w:lineRule="auto"/>
              <w:ind w:left="245" w:right="238"/>
              <w:jc w:val="center"/>
              <w:rPr>
                <w:b/>
                <w:sz w:val="21"/>
                <w:szCs w:val="21"/>
              </w:rPr>
            </w:pPr>
            <w:r>
              <w:rPr>
                <w:b/>
                <w:sz w:val="21"/>
                <w:szCs w:val="21"/>
              </w:rPr>
              <w:t>（详见备注说明）</w:t>
            </w:r>
          </w:p>
        </w:tc>
        <w:tc>
          <w:tcPr>
            <w:tcW w:w="6064" w:type="dxa"/>
            <w:noWrap w:val="0"/>
            <w:vAlign w:val="top"/>
          </w:tcPr>
          <w:p>
            <w:pPr>
              <w:pStyle w:val="25"/>
              <w:spacing w:line="360" w:lineRule="auto"/>
              <w:rPr>
                <w:b/>
                <w:sz w:val="21"/>
                <w:szCs w:val="21"/>
              </w:rPr>
            </w:pPr>
          </w:p>
          <w:p>
            <w:pPr>
              <w:pStyle w:val="25"/>
              <w:spacing w:before="12" w:line="360" w:lineRule="auto"/>
              <w:rPr>
                <w:b/>
                <w:sz w:val="21"/>
                <w:szCs w:val="21"/>
              </w:rPr>
            </w:pPr>
          </w:p>
          <w:p>
            <w:pPr>
              <w:pStyle w:val="25"/>
              <w:tabs>
                <w:tab w:val="left" w:pos="4482"/>
              </w:tabs>
              <w:spacing w:line="360" w:lineRule="auto"/>
              <w:ind w:left="107"/>
              <w:rPr>
                <w:sz w:val="21"/>
                <w:szCs w:val="21"/>
                <w:lang w:eastAsia="en-US"/>
              </w:rPr>
            </w:pPr>
            <w:r>
              <w:rPr>
                <w:sz w:val="21"/>
                <w:szCs w:val="21"/>
                <w:lang w:eastAsia="en-US"/>
              </w:rPr>
              <w:t>人民币大写：</w:t>
            </w:r>
            <w:r>
              <w:rPr>
                <w:sz w:val="21"/>
                <w:szCs w:val="21"/>
                <w:u w:val="single"/>
                <w:lang w:eastAsia="en-US"/>
              </w:rPr>
              <w:t xml:space="preserve"> </w:t>
            </w:r>
            <w:r>
              <w:rPr>
                <w:sz w:val="21"/>
                <w:szCs w:val="21"/>
                <w:u w:val="single"/>
                <w:lang w:eastAsia="en-US"/>
              </w:rPr>
              <w:tab/>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4" w:hRule="atLeast"/>
        </w:trPr>
        <w:tc>
          <w:tcPr>
            <w:tcW w:w="2461" w:type="dxa"/>
            <w:noWrap w:val="0"/>
            <w:vAlign w:val="top"/>
          </w:tcPr>
          <w:p>
            <w:pPr>
              <w:pStyle w:val="25"/>
              <w:spacing w:before="165" w:line="360" w:lineRule="auto"/>
              <w:ind w:right="238"/>
              <w:rPr>
                <w:b/>
                <w:sz w:val="21"/>
                <w:szCs w:val="21"/>
                <w:lang w:eastAsia="en-US"/>
              </w:rPr>
            </w:pPr>
            <w:r>
              <w:rPr>
                <w:b/>
                <w:sz w:val="21"/>
                <w:szCs w:val="21"/>
                <w:lang w:eastAsia="en-US"/>
              </w:rPr>
              <w:t>备注说明</w:t>
            </w:r>
          </w:p>
        </w:tc>
        <w:tc>
          <w:tcPr>
            <w:tcW w:w="6064" w:type="dxa"/>
            <w:noWrap w:val="0"/>
            <w:vAlign w:val="top"/>
          </w:tcPr>
          <w:p>
            <w:pPr>
              <w:pStyle w:val="25"/>
              <w:spacing w:line="360" w:lineRule="auto"/>
              <w:rPr>
                <w:sz w:val="21"/>
                <w:szCs w:val="21"/>
                <w:lang w:eastAsia="en-US"/>
              </w:rPr>
            </w:pPr>
          </w:p>
        </w:tc>
      </w:tr>
    </w:tbl>
    <w:p>
      <w:pPr>
        <w:pStyle w:val="11"/>
        <w:tabs>
          <w:tab w:val="left" w:pos="5841"/>
          <w:tab w:val="left" w:pos="8896"/>
        </w:tabs>
        <w:spacing w:before="79" w:line="360" w:lineRule="auto"/>
        <w:ind w:left="5121" w:right="501" w:hanging="601"/>
        <w:rPr>
          <w:sz w:val="21"/>
          <w:szCs w:val="21"/>
          <w:u w:val="single"/>
        </w:rPr>
      </w:pPr>
      <w:r>
        <w:rPr>
          <w:sz w:val="21"/>
          <w:szCs w:val="21"/>
        </w:rPr>
        <w:t>供应商公章或授权代表签字：</w:t>
      </w:r>
      <w:r>
        <w:rPr>
          <w:sz w:val="21"/>
          <w:szCs w:val="21"/>
          <w:u w:val="single"/>
        </w:rPr>
        <w:t xml:space="preserve"> </w:t>
      </w:r>
      <w:r>
        <w:rPr>
          <w:sz w:val="21"/>
          <w:szCs w:val="21"/>
          <w:u w:val="single"/>
        </w:rPr>
        <w:tab/>
      </w:r>
      <w:r>
        <w:rPr>
          <w:sz w:val="21"/>
          <w:szCs w:val="21"/>
          <w:u w:val="single"/>
        </w:rPr>
        <w:t xml:space="preserve"> </w:t>
      </w:r>
    </w:p>
    <w:p>
      <w:pPr>
        <w:pStyle w:val="11"/>
        <w:tabs>
          <w:tab w:val="left" w:pos="5841"/>
          <w:tab w:val="left" w:pos="8896"/>
        </w:tabs>
        <w:spacing w:before="79" w:line="360" w:lineRule="auto"/>
        <w:ind w:left="5121" w:right="501" w:hanging="601"/>
        <w:rPr>
          <w:sz w:val="21"/>
          <w:szCs w:val="21"/>
        </w:rPr>
      </w:pPr>
      <w:r>
        <w:rPr>
          <w:sz w:val="21"/>
          <w:szCs w:val="21"/>
        </w:rPr>
        <w:t>日</w:t>
      </w:r>
      <w:r>
        <w:rPr>
          <w:sz w:val="21"/>
          <w:szCs w:val="21"/>
        </w:rPr>
        <w:tab/>
      </w:r>
      <w:r>
        <w:rPr>
          <w:sz w:val="21"/>
          <w:szCs w:val="21"/>
        </w:rPr>
        <w:t>期：</w:t>
      </w:r>
      <w:r>
        <w:rPr>
          <w:sz w:val="21"/>
          <w:szCs w:val="21"/>
          <w:u w:val="single"/>
        </w:rPr>
        <w:t xml:space="preserve"> </w:t>
      </w:r>
      <w:r>
        <w:rPr>
          <w:rFonts w:hint="eastAsia"/>
          <w:sz w:val="21"/>
          <w:szCs w:val="21"/>
          <w:u w:val="single"/>
        </w:rPr>
        <w:t xml:space="preserve">   </w:t>
      </w:r>
      <w:r>
        <w:rPr>
          <w:sz w:val="21"/>
          <w:szCs w:val="21"/>
          <w:u w:val="single"/>
        </w:rPr>
        <w:tab/>
      </w:r>
      <w:r>
        <w:rPr>
          <w:w w:val="15"/>
          <w:sz w:val="21"/>
          <w:szCs w:val="21"/>
          <w:u w:val="single"/>
        </w:rPr>
        <w:t xml:space="preserve"> </w:t>
      </w:r>
    </w:p>
    <w:p>
      <w:pPr>
        <w:spacing w:line="360" w:lineRule="auto"/>
        <w:ind w:firstLine="422" w:firstLineChars="200"/>
        <w:rPr>
          <w:b/>
          <w:sz w:val="21"/>
          <w:szCs w:val="21"/>
        </w:rPr>
      </w:pPr>
      <w:r>
        <w:rPr>
          <w:b/>
          <w:sz w:val="21"/>
          <w:szCs w:val="21"/>
        </w:rPr>
        <w:t>注：</w:t>
      </w:r>
      <w:r>
        <w:rPr>
          <w:rFonts w:hint="eastAsia"/>
          <w:b/>
          <w:sz w:val="21"/>
          <w:szCs w:val="21"/>
          <w:lang w:val="en-US" w:eastAsia="zh-CN"/>
        </w:rPr>
        <w:t>1</w:t>
      </w:r>
      <w:r>
        <w:rPr>
          <w:rFonts w:hint="eastAsia"/>
          <w:b/>
          <w:sz w:val="21"/>
          <w:szCs w:val="21"/>
        </w:rPr>
        <w:t>、</w:t>
      </w:r>
      <w:r>
        <w:rPr>
          <w:b/>
          <w:sz w:val="21"/>
          <w:szCs w:val="21"/>
        </w:rPr>
        <w:t>考虑</w:t>
      </w:r>
      <w:r>
        <w:rPr>
          <w:rFonts w:hint="eastAsia"/>
          <w:b/>
          <w:sz w:val="21"/>
          <w:szCs w:val="21"/>
          <w:lang w:val="en-US" w:eastAsia="zh-CN"/>
        </w:rPr>
        <w:t>磋商</w:t>
      </w:r>
      <w:r>
        <w:rPr>
          <w:b/>
          <w:sz w:val="21"/>
          <w:szCs w:val="21"/>
        </w:rPr>
        <w:t>报价的方便，供应商在填写最后承诺报价后，（第一次报价- 最后承诺报价）除以第一次报价后得出的优惠率视同为需求表中全部分项设备、工程量或服务的优惠浮动值（特定分项优惠除外），而不考虑措施项目清单和规 费税金清单的金额改变。此优惠率调整原则适用于合同内价格的计算及项目增减、变更时价格的计算。</w:t>
      </w:r>
    </w:p>
    <w:p>
      <w:pPr>
        <w:spacing w:line="360" w:lineRule="auto"/>
        <w:ind w:firstLine="422" w:firstLineChars="200"/>
        <w:rPr>
          <w:b/>
          <w:sz w:val="21"/>
          <w:szCs w:val="21"/>
        </w:rPr>
      </w:pPr>
      <w:r>
        <w:rPr>
          <w:rFonts w:hint="eastAsia"/>
          <w:b/>
          <w:sz w:val="21"/>
          <w:szCs w:val="21"/>
          <w:lang w:val="en-US" w:eastAsia="zh-CN"/>
        </w:rPr>
        <w:t>2</w:t>
      </w:r>
      <w:r>
        <w:rPr>
          <w:rFonts w:hint="eastAsia"/>
          <w:b/>
          <w:sz w:val="21"/>
          <w:szCs w:val="21"/>
        </w:rPr>
        <w:t>、供应商后期报价浮动率的计算按以下方式进行计算</w:t>
      </w:r>
    </w:p>
    <w:p>
      <w:pPr>
        <w:adjustRightInd w:val="0"/>
        <w:snapToGrid w:val="0"/>
        <w:spacing w:before="48" w:beforeLines="20" w:after="48" w:afterLines="20" w:line="360" w:lineRule="auto"/>
        <w:ind w:left="149" w:leftChars="71" w:firstLine="420" w:firstLineChars="200"/>
        <w:rPr>
          <w:rFonts w:cs="仿宋"/>
          <w:sz w:val="21"/>
          <w:szCs w:val="21"/>
        </w:rPr>
      </w:pPr>
      <w:r>
        <w:rPr>
          <w:rFonts w:hint="eastAsia" w:cs="仿宋"/>
          <w:sz w:val="21"/>
          <w:szCs w:val="21"/>
        </w:rPr>
        <w:t>报价浮动率</w:t>
      </w:r>
      <w:r>
        <w:rPr>
          <w:rFonts w:cs="仿宋"/>
          <w:sz w:val="21"/>
          <w:szCs w:val="21"/>
        </w:rPr>
        <w:t xml:space="preserve"> =</w:t>
      </w:r>
      <w:r>
        <w:rPr>
          <w:rFonts w:hint="eastAsia" w:cs="仿宋"/>
          <w:sz w:val="21"/>
          <w:szCs w:val="21"/>
        </w:rPr>
        <w:t>【报价</w:t>
      </w:r>
      <w:r>
        <w:rPr>
          <w:rFonts w:cs="仿宋"/>
          <w:sz w:val="21"/>
          <w:szCs w:val="21"/>
        </w:rPr>
        <w:t>-</w:t>
      </w:r>
      <w:r>
        <w:rPr>
          <w:rFonts w:hint="eastAsia" w:cs="仿宋"/>
          <w:sz w:val="21"/>
          <w:szCs w:val="21"/>
        </w:rPr>
        <w:t>（</w:t>
      </w:r>
      <w:r>
        <w:rPr>
          <w:rFonts w:cs="仿宋"/>
          <w:sz w:val="21"/>
          <w:szCs w:val="21"/>
        </w:rPr>
        <w:t xml:space="preserve"> </w:t>
      </w:r>
      <w:r>
        <w:rPr>
          <w:rFonts w:hint="eastAsia" w:cs="仿宋"/>
          <w:sz w:val="21"/>
          <w:szCs w:val="21"/>
        </w:rPr>
        <w:t>暂估价、暂列金额）】</w:t>
      </w:r>
      <w:r>
        <w:rPr>
          <w:rFonts w:cs="仿宋"/>
          <w:sz w:val="21"/>
          <w:szCs w:val="21"/>
        </w:rPr>
        <w:t>/</w:t>
      </w:r>
      <w:r>
        <w:rPr>
          <w:rFonts w:hint="eastAsia" w:cs="仿宋"/>
          <w:sz w:val="21"/>
          <w:szCs w:val="21"/>
        </w:rPr>
        <w:t>【最高投标限价</w:t>
      </w:r>
      <w:r>
        <w:rPr>
          <w:rFonts w:cs="仿宋"/>
          <w:sz w:val="21"/>
          <w:szCs w:val="21"/>
        </w:rPr>
        <w:t>-</w:t>
      </w:r>
      <w:r>
        <w:rPr>
          <w:rFonts w:hint="eastAsia" w:cs="仿宋"/>
          <w:sz w:val="21"/>
          <w:szCs w:val="21"/>
        </w:rPr>
        <w:t>（暂估价、暂列金额）】</w:t>
      </w:r>
      <w:r>
        <w:rPr>
          <w:rFonts w:cs="仿宋"/>
          <w:sz w:val="21"/>
          <w:szCs w:val="21"/>
        </w:rPr>
        <w:t>*100%</w:t>
      </w:r>
      <w:r>
        <w:rPr>
          <w:rFonts w:hint="eastAsia" w:cs="仿宋"/>
          <w:sz w:val="21"/>
          <w:szCs w:val="21"/>
        </w:rPr>
        <w:t>（</w:t>
      </w:r>
      <w:r>
        <w:rPr>
          <w:rFonts w:hint="eastAsia"/>
          <w:b/>
          <w:bCs/>
          <w:sz w:val="21"/>
          <w:szCs w:val="21"/>
        </w:rPr>
        <w:t>保留两位小数，小数点后第三位四舍五入</w:t>
      </w:r>
      <w:r>
        <w:rPr>
          <w:rFonts w:hint="eastAsia" w:cs="仿宋"/>
          <w:sz w:val="21"/>
          <w:szCs w:val="21"/>
        </w:rPr>
        <w:t>）</w:t>
      </w:r>
    </w:p>
    <w:p>
      <w:pPr>
        <w:pStyle w:val="2"/>
        <w:ind w:left="0" w:leftChars="0" w:firstLine="422" w:firstLineChars="200"/>
        <w:rPr>
          <w:rFonts w:hint="eastAsia" w:eastAsia="宋体"/>
          <w:color w:val="FF0000"/>
          <w:lang w:val="en-US" w:eastAsia="zh-CN"/>
        </w:rPr>
        <w:sectPr>
          <w:pgSz w:w="11910" w:h="16840"/>
          <w:pgMar w:top="1380" w:right="1440" w:bottom="1580" w:left="1580" w:header="890" w:footer="1363" w:gutter="0"/>
          <w:pgNumType w:fmt="decimal"/>
          <w:cols w:space="720" w:num="1"/>
        </w:sectPr>
      </w:pPr>
      <w:r>
        <w:rPr>
          <w:rFonts w:hint="eastAsia"/>
          <w:b/>
          <w:bCs/>
          <w:color w:val="FF0000"/>
          <w:sz w:val="21"/>
          <w:szCs w:val="21"/>
          <w:lang w:val="en-US" w:eastAsia="zh-CN"/>
        </w:rPr>
        <w:t>3、</w:t>
      </w:r>
      <w:r>
        <w:rPr>
          <w:rFonts w:hint="eastAsia"/>
          <w:color w:val="FF0000"/>
          <w:sz w:val="21"/>
          <w:szCs w:val="21"/>
          <w:lang w:val="en-US" w:eastAsia="zh-CN"/>
        </w:rPr>
        <w:t>本表用于多轮报价，供应商须在响应文件中装订一份未填写响应报价的表格，另备几份手持。</w:t>
      </w:r>
    </w:p>
    <w:p>
      <w:pPr>
        <w:pStyle w:val="8"/>
        <w:keepNext w:val="0"/>
        <w:keepLines w:val="0"/>
        <w:autoSpaceDE w:val="0"/>
        <w:autoSpaceDN w:val="0"/>
        <w:spacing w:before="104" w:after="0" w:line="360" w:lineRule="auto"/>
        <w:ind w:left="1367" w:right="1503"/>
        <w:jc w:val="center"/>
        <w:rPr>
          <w:rFonts w:ascii="宋体" w:hAnsi="宋体" w:cs="宋体"/>
          <w:kern w:val="0"/>
          <w:sz w:val="21"/>
          <w:szCs w:val="21"/>
          <w:lang w:val="zh-CN" w:bidi="zh-CN"/>
        </w:rPr>
      </w:pPr>
      <w:r>
        <w:rPr>
          <w:rFonts w:ascii="宋体" w:hAnsi="宋体" w:cs="宋体"/>
          <w:kern w:val="0"/>
          <w:sz w:val="21"/>
          <w:szCs w:val="21"/>
          <w:lang w:val="zh-CN" w:bidi="zh-CN"/>
        </w:rPr>
        <w:t>三、磋商响应函</w:t>
      </w:r>
    </w:p>
    <w:p>
      <w:pPr>
        <w:spacing w:line="360" w:lineRule="auto"/>
        <w:rPr>
          <w:rFonts w:ascii="宋体" w:hAnsi="宋体"/>
        </w:rPr>
      </w:pPr>
    </w:p>
    <w:p>
      <w:pPr>
        <w:autoSpaceDE w:val="0"/>
        <w:autoSpaceDN w:val="0"/>
        <w:spacing w:after="240" w:afterLines="100"/>
        <w:jc w:val="left"/>
        <w:rPr>
          <w:rFonts w:ascii="宋体" w:hAnsi="宋体" w:cs="宋体"/>
          <w:b/>
          <w:kern w:val="0"/>
          <w:u w:val="single"/>
          <w:lang w:val="zh-CN" w:bidi="zh-CN"/>
        </w:rPr>
      </w:pPr>
      <w:r>
        <w:rPr>
          <w:rFonts w:ascii="宋体" w:hAnsi="宋体" w:cs="宋体"/>
          <w:b/>
          <w:kern w:val="0"/>
          <w:lang w:val="zh-CN" w:bidi="zh-CN"/>
        </w:rPr>
        <w:t>致：</w:t>
      </w:r>
      <w:r>
        <w:rPr>
          <w:rFonts w:hint="eastAsia" w:ascii="宋体" w:hAnsi="宋体" w:cs="宋体"/>
          <w:b/>
          <w:kern w:val="0"/>
          <w:u w:val="single"/>
          <w:lang w:val="zh-CN" w:bidi="zh-CN"/>
        </w:rPr>
        <w:t xml:space="preserve">    </w:t>
      </w:r>
      <w:r>
        <w:rPr>
          <w:rFonts w:ascii="宋体" w:hAnsi="宋体" w:cs="宋体"/>
          <w:b/>
          <w:kern w:val="0"/>
          <w:u w:val="single"/>
          <w:lang w:val="zh-CN" w:bidi="zh-CN"/>
        </w:rPr>
        <w:t xml:space="preserve"> </w:t>
      </w:r>
    </w:p>
    <w:p>
      <w:pPr>
        <w:pStyle w:val="11"/>
        <w:spacing w:before="2" w:line="360" w:lineRule="auto"/>
        <w:ind w:left="1040"/>
        <w:rPr>
          <w:sz w:val="21"/>
          <w:szCs w:val="21"/>
        </w:rPr>
      </w:pPr>
      <w:r>
        <w:rPr>
          <w:sz w:val="21"/>
          <w:szCs w:val="21"/>
        </w:rPr>
        <w:t>根据贵方的竞争</w:t>
      </w:r>
      <w:r>
        <w:rPr>
          <w:color w:val="000000"/>
          <w:sz w:val="21"/>
          <w:szCs w:val="21"/>
        </w:rPr>
        <w:t>性磋商邀请公告</w:t>
      </w:r>
      <w:r>
        <w:rPr>
          <w:sz w:val="21"/>
          <w:szCs w:val="21"/>
        </w:rPr>
        <w:t>，我方兹宣布同意如下：</w:t>
      </w:r>
    </w:p>
    <w:p>
      <w:pPr>
        <w:pStyle w:val="26"/>
        <w:numPr>
          <w:ilvl w:val="0"/>
          <w:numId w:val="26"/>
        </w:numPr>
        <w:tabs>
          <w:tab w:val="left" w:pos="1282"/>
        </w:tabs>
        <w:autoSpaceDE w:val="0"/>
        <w:autoSpaceDN w:val="0"/>
        <w:spacing w:before="160" w:line="360" w:lineRule="auto"/>
        <w:ind w:right="557" w:firstLine="479" w:firstLineChars="0"/>
        <w:rPr>
          <w:rFonts w:ascii="宋体" w:hAnsi="宋体"/>
          <w:szCs w:val="21"/>
        </w:rPr>
      </w:pPr>
      <w:r>
        <w:rPr>
          <w:rFonts w:ascii="宋体" w:hAnsi="宋体"/>
          <w:szCs w:val="21"/>
        </w:rPr>
        <w:t>如我公司成交，我公司承诺愿意按磋商文件规定缴纳履约保证金和成交服务费。按本次磋商文件规定及最后报价承诺供货及安装。</w:t>
      </w:r>
    </w:p>
    <w:p>
      <w:pPr>
        <w:pStyle w:val="26"/>
        <w:numPr>
          <w:ilvl w:val="0"/>
          <w:numId w:val="26"/>
        </w:numPr>
        <w:tabs>
          <w:tab w:val="left" w:pos="1282"/>
        </w:tabs>
        <w:autoSpaceDE w:val="0"/>
        <w:autoSpaceDN w:val="0"/>
        <w:spacing w:before="1" w:line="360" w:lineRule="auto"/>
        <w:ind w:right="561" w:firstLine="479" w:firstLineChars="0"/>
        <w:rPr>
          <w:rFonts w:ascii="宋体" w:hAnsi="宋体"/>
          <w:szCs w:val="21"/>
        </w:rPr>
      </w:pPr>
      <w:r>
        <w:rPr>
          <w:rFonts w:ascii="宋体" w:hAnsi="宋体"/>
          <w:szCs w:val="21"/>
        </w:rPr>
        <w:t>我方根据本次磋商文件的规定，严格履行合同的责任和义务,并保证于买方要求的日期内完成服务，并通过买方验收。</w:t>
      </w:r>
    </w:p>
    <w:p>
      <w:pPr>
        <w:pStyle w:val="26"/>
        <w:numPr>
          <w:ilvl w:val="0"/>
          <w:numId w:val="26"/>
        </w:numPr>
        <w:tabs>
          <w:tab w:val="left" w:pos="1282"/>
        </w:tabs>
        <w:autoSpaceDE w:val="0"/>
        <w:autoSpaceDN w:val="0"/>
        <w:spacing w:before="2" w:line="360" w:lineRule="auto"/>
        <w:ind w:left="1281" w:hanging="242" w:firstLineChars="0"/>
        <w:rPr>
          <w:rFonts w:ascii="宋体" w:hAnsi="宋体"/>
          <w:szCs w:val="21"/>
        </w:rPr>
      </w:pPr>
      <w:r>
        <w:rPr>
          <w:rFonts w:ascii="宋体" w:hAnsi="宋体"/>
          <w:szCs w:val="21"/>
        </w:rPr>
        <w:t>我方承诺报价低于同类货物和服务的市场平均价格。</w:t>
      </w:r>
    </w:p>
    <w:p>
      <w:pPr>
        <w:pStyle w:val="26"/>
        <w:numPr>
          <w:ilvl w:val="0"/>
          <w:numId w:val="26"/>
        </w:numPr>
        <w:tabs>
          <w:tab w:val="left" w:pos="1282"/>
        </w:tabs>
        <w:autoSpaceDE w:val="0"/>
        <w:autoSpaceDN w:val="0"/>
        <w:spacing w:before="161" w:line="360" w:lineRule="auto"/>
        <w:ind w:right="439" w:firstLine="479" w:firstLineChars="0"/>
        <w:rPr>
          <w:rFonts w:ascii="宋体" w:hAnsi="宋体"/>
          <w:szCs w:val="21"/>
        </w:rPr>
      </w:pPr>
      <w:r>
        <w:rPr>
          <w:rFonts w:ascii="宋体" w:hAnsi="宋体"/>
          <w:szCs w:val="21"/>
        </w:rPr>
        <w:t>我方已详细审核本次磋商文件，包括磋商文件附件、参考资料、磋商文件修改书或图纸（如有），我方正式认可并遵守本次磋商文件，并对磋商文件各项条款、规定及要求均无异议。我方知道必须放弃提出含糊不清或误解问题的权利。</w:t>
      </w:r>
    </w:p>
    <w:p>
      <w:pPr>
        <w:pStyle w:val="26"/>
        <w:numPr>
          <w:ilvl w:val="0"/>
          <w:numId w:val="26"/>
        </w:numPr>
        <w:tabs>
          <w:tab w:val="left" w:pos="1282"/>
        </w:tabs>
        <w:autoSpaceDE w:val="0"/>
        <w:autoSpaceDN w:val="0"/>
        <w:spacing w:before="1" w:line="360" w:lineRule="auto"/>
        <w:ind w:right="558" w:firstLine="479" w:firstLineChars="0"/>
        <w:rPr>
          <w:rFonts w:ascii="宋体" w:hAnsi="宋体"/>
          <w:szCs w:val="21"/>
        </w:rPr>
      </w:pPr>
      <w:r>
        <w:rPr>
          <w:rFonts w:ascii="宋体" w:hAnsi="宋体"/>
          <w:szCs w:val="21"/>
        </w:rPr>
        <w:t>我方同意从供应商须知规定的磋商日期起遵循本磋商文件，并在供应商须知规定的磋商有效期之前均具有约束力。</w:t>
      </w:r>
    </w:p>
    <w:p>
      <w:pPr>
        <w:pStyle w:val="26"/>
        <w:numPr>
          <w:ilvl w:val="0"/>
          <w:numId w:val="26"/>
        </w:numPr>
        <w:tabs>
          <w:tab w:val="left" w:pos="1286"/>
        </w:tabs>
        <w:autoSpaceDE w:val="0"/>
        <w:autoSpaceDN w:val="0"/>
        <w:spacing w:before="2" w:line="360" w:lineRule="auto"/>
        <w:ind w:right="550" w:firstLine="479" w:firstLineChars="0"/>
        <w:rPr>
          <w:rFonts w:ascii="宋体" w:hAnsi="宋体"/>
          <w:szCs w:val="21"/>
        </w:rPr>
      </w:pPr>
      <w:r>
        <w:rPr>
          <w:rFonts w:ascii="宋体" w:hAnsi="宋体"/>
          <w:szCs w:val="21"/>
        </w:rPr>
        <w:t>我方同意按贵方要求在磋商现场规定时间内向贵方提供与其磋商有关的任何证据或补充资料，否则，我方的响应文件可被贵方拒绝。</w:t>
      </w:r>
    </w:p>
    <w:p>
      <w:pPr>
        <w:pStyle w:val="26"/>
        <w:numPr>
          <w:ilvl w:val="0"/>
          <w:numId w:val="26"/>
        </w:numPr>
        <w:tabs>
          <w:tab w:val="left" w:pos="1282"/>
        </w:tabs>
        <w:autoSpaceDE w:val="0"/>
        <w:autoSpaceDN w:val="0"/>
        <w:spacing w:before="1" w:line="360" w:lineRule="auto"/>
        <w:ind w:left="1281" w:hanging="242" w:firstLineChars="0"/>
        <w:rPr>
          <w:rFonts w:ascii="宋体" w:hAnsi="宋体"/>
          <w:szCs w:val="21"/>
        </w:rPr>
      </w:pPr>
      <w:r>
        <w:rPr>
          <w:rFonts w:ascii="宋体" w:hAnsi="宋体"/>
          <w:szCs w:val="21"/>
        </w:rPr>
        <w:t>我方完全理解贵方不一定接受最低报价的磋商。</w:t>
      </w:r>
    </w:p>
    <w:p>
      <w:pPr>
        <w:pStyle w:val="26"/>
        <w:numPr>
          <w:ilvl w:val="0"/>
          <w:numId w:val="26"/>
        </w:numPr>
        <w:tabs>
          <w:tab w:val="left" w:pos="1282"/>
        </w:tabs>
        <w:autoSpaceDE w:val="0"/>
        <w:autoSpaceDN w:val="0"/>
        <w:spacing w:before="161" w:line="360" w:lineRule="auto"/>
        <w:ind w:left="1281" w:hanging="242" w:firstLineChars="0"/>
        <w:rPr>
          <w:rFonts w:ascii="宋体" w:hAnsi="宋体"/>
          <w:szCs w:val="21"/>
        </w:rPr>
      </w:pPr>
      <w:r>
        <w:rPr>
          <w:rFonts w:ascii="宋体" w:hAnsi="宋体"/>
          <w:szCs w:val="21"/>
        </w:rPr>
        <w:t>我方同意磋商文件规定的付款方式、服务期限。</w:t>
      </w:r>
    </w:p>
    <w:p>
      <w:pPr>
        <w:pStyle w:val="26"/>
        <w:numPr>
          <w:ilvl w:val="0"/>
          <w:numId w:val="26"/>
        </w:numPr>
        <w:tabs>
          <w:tab w:val="left" w:pos="1402"/>
        </w:tabs>
        <w:autoSpaceDE w:val="0"/>
        <w:autoSpaceDN w:val="0"/>
        <w:spacing w:before="161" w:line="360" w:lineRule="auto"/>
        <w:ind w:right="560" w:firstLine="479" w:firstLineChars="0"/>
        <w:rPr>
          <w:rFonts w:ascii="宋体" w:hAnsi="宋体"/>
          <w:szCs w:val="21"/>
        </w:rPr>
      </w:pPr>
      <w:r>
        <w:rPr>
          <w:rFonts w:ascii="宋体" w:hAnsi="宋体"/>
          <w:szCs w:val="21"/>
        </w:rPr>
        <w:t>我方对响应文件中所提供资料、文件、证书及证件的真实性和有效性负责。</w:t>
      </w:r>
    </w:p>
    <w:p>
      <w:pPr>
        <w:pStyle w:val="26"/>
        <w:numPr>
          <w:ilvl w:val="0"/>
          <w:numId w:val="26"/>
        </w:numPr>
        <w:tabs>
          <w:tab w:val="left" w:pos="1402"/>
          <w:tab w:val="left" w:pos="7456"/>
        </w:tabs>
        <w:autoSpaceDE w:val="0"/>
        <w:autoSpaceDN w:val="0"/>
        <w:spacing w:before="1" w:line="360" w:lineRule="auto"/>
        <w:ind w:left="1401" w:hanging="362" w:firstLineChars="0"/>
        <w:rPr>
          <w:rFonts w:ascii="宋体" w:hAnsi="宋体"/>
          <w:szCs w:val="21"/>
        </w:rPr>
      </w:pPr>
      <w:r>
        <w:rPr>
          <w:rFonts w:ascii="宋体" w:hAnsi="宋体"/>
          <w:szCs w:val="21"/>
        </w:rPr>
        <w:t>与本磋商有关的通讯地址：</w:t>
      </w:r>
      <w:r>
        <w:rPr>
          <w:rFonts w:ascii="宋体" w:hAnsi="宋体"/>
          <w:szCs w:val="21"/>
          <w:u w:val="single"/>
        </w:rPr>
        <w:t xml:space="preserve"> </w:t>
      </w:r>
      <w:r>
        <w:rPr>
          <w:rFonts w:ascii="宋体" w:hAnsi="宋体"/>
          <w:szCs w:val="21"/>
          <w:u w:val="single"/>
        </w:rPr>
        <w:tab/>
      </w:r>
    </w:p>
    <w:p>
      <w:pPr>
        <w:pStyle w:val="11"/>
        <w:tabs>
          <w:tab w:val="left" w:pos="5841"/>
          <w:tab w:val="left" w:pos="8923"/>
        </w:tabs>
        <w:spacing w:before="160" w:line="360" w:lineRule="auto"/>
        <w:ind w:left="5121" w:right="501"/>
        <w:rPr>
          <w:sz w:val="21"/>
          <w:szCs w:val="21"/>
          <w:u w:val="single"/>
        </w:rPr>
      </w:pPr>
      <w:r>
        <w:rPr>
          <w:sz w:val="21"/>
          <w:szCs w:val="21"/>
        </w:rPr>
        <w:t>供应商</w:t>
      </w:r>
      <w:r>
        <w:rPr>
          <w:rFonts w:hint="eastAsia"/>
          <w:sz w:val="21"/>
          <w:szCs w:val="21"/>
          <w:lang w:eastAsia="zh-CN"/>
        </w:rPr>
        <w:t>签章</w:t>
      </w:r>
      <w:r>
        <w:rPr>
          <w:sz w:val="21"/>
          <w:szCs w:val="21"/>
        </w:rPr>
        <w:t>：</w:t>
      </w:r>
      <w:r>
        <w:rPr>
          <w:sz w:val="21"/>
          <w:szCs w:val="21"/>
          <w:u w:val="single"/>
        </w:rPr>
        <w:t xml:space="preserve"> </w:t>
      </w:r>
      <w:r>
        <w:rPr>
          <w:sz w:val="21"/>
          <w:szCs w:val="21"/>
          <w:u w:val="single"/>
        </w:rPr>
        <w:tab/>
      </w:r>
    </w:p>
    <w:p>
      <w:pPr>
        <w:pStyle w:val="11"/>
        <w:tabs>
          <w:tab w:val="left" w:pos="5841"/>
          <w:tab w:val="left" w:pos="8923"/>
        </w:tabs>
        <w:spacing w:before="160" w:line="360" w:lineRule="auto"/>
        <w:ind w:right="501"/>
        <w:jc w:val="right"/>
        <w:rPr>
          <w:sz w:val="21"/>
          <w:szCs w:val="21"/>
          <w:u w:val="single"/>
        </w:rPr>
      </w:pPr>
      <w:r>
        <w:rPr>
          <w:rFonts w:hint="eastAsia"/>
          <w:sz w:val="21"/>
          <w:szCs w:val="21"/>
        </w:rPr>
        <w:t>法定代表人或其委托代理人：</w:t>
      </w:r>
      <w:r>
        <w:rPr>
          <w:rFonts w:hint="eastAsia"/>
          <w:sz w:val="21"/>
          <w:szCs w:val="21"/>
          <w:u w:val="single"/>
        </w:rPr>
        <w:t>（签字或盖章）</w:t>
      </w:r>
    </w:p>
    <w:p>
      <w:pPr>
        <w:pStyle w:val="11"/>
        <w:tabs>
          <w:tab w:val="left" w:pos="5841"/>
          <w:tab w:val="left" w:pos="8923"/>
        </w:tabs>
        <w:spacing w:before="160" w:line="360" w:lineRule="auto"/>
        <w:ind w:left="5121" w:right="501"/>
        <w:rPr>
          <w:sz w:val="21"/>
          <w:szCs w:val="21"/>
        </w:rPr>
      </w:pPr>
      <w:r>
        <w:rPr>
          <w:sz w:val="21"/>
          <w:szCs w:val="21"/>
        </w:rPr>
        <w:t>日</w:t>
      </w:r>
      <w:r>
        <w:rPr>
          <w:sz w:val="21"/>
          <w:szCs w:val="21"/>
        </w:rPr>
        <w:tab/>
      </w:r>
      <w:r>
        <w:rPr>
          <w:sz w:val="21"/>
          <w:szCs w:val="21"/>
        </w:rPr>
        <w:t>期：</w:t>
      </w:r>
      <w:r>
        <w:rPr>
          <w:sz w:val="21"/>
          <w:szCs w:val="21"/>
          <w:u w:val="single"/>
        </w:rPr>
        <w:t xml:space="preserve"> </w:t>
      </w:r>
      <w:r>
        <w:rPr>
          <w:sz w:val="21"/>
          <w:szCs w:val="21"/>
          <w:u w:val="single"/>
        </w:rPr>
        <w:tab/>
      </w:r>
    </w:p>
    <w:p>
      <w:pPr>
        <w:pStyle w:val="11"/>
        <w:spacing w:line="360" w:lineRule="auto"/>
        <w:rPr>
          <w:sz w:val="21"/>
          <w:szCs w:val="21"/>
        </w:rPr>
      </w:pPr>
    </w:p>
    <w:p>
      <w:pPr>
        <w:pStyle w:val="11"/>
        <w:spacing w:line="360" w:lineRule="auto"/>
        <w:rPr>
          <w:sz w:val="21"/>
          <w:szCs w:val="21"/>
        </w:rPr>
      </w:pPr>
    </w:p>
    <w:p>
      <w:pPr>
        <w:pStyle w:val="11"/>
        <w:spacing w:before="4" w:line="360" w:lineRule="auto"/>
        <w:rPr>
          <w:sz w:val="21"/>
          <w:szCs w:val="21"/>
        </w:rPr>
      </w:pPr>
    </w:p>
    <w:p>
      <w:pPr>
        <w:pStyle w:val="11"/>
        <w:spacing w:before="4" w:line="360" w:lineRule="auto"/>
        <w:rPr>
          <w:sz w:val="21"/>
          <w:szCs w:val="21"/>
        </w:rPr>
      </w:pPr>
    </w:p>
    <w:p>
      <w:pPr>
        <w:pStyle w:val="11"/>
        <w:spacing w:before="4" w:line="360" w:lineRule="auto"/>
        <w:rPr>
          <w:sz w:val="21"/>
          <w:szCs w:val="21"/>
        </w:rPr>
      </w:pPr>
    </w:p>
    <w:p>
      <w:pPr>
        <w:pStyle w:val="11"/>
        <w:spacing w:before="4" w:line="360" w:lineRule="auto"/>
        <w:rPr>
          <w:sz w:val="21"/>
          <w:szCs w:val="21"/>
        </w:rPr>
      </w:pPr>
    </w:p>
    <w:p>
      <w:pPr>
        <w:pStyle w:val="11"/>
        <w:spacing w:before="4" w:line="360" w:lineRule="auto"/>
        <w:rPr>
          <w:sz w:val="21"/>
          <w:szCs w:val="21"/>
        </w:rPr>
      </w:pPr>
    </w:p>
    <w:p>
      <w:pPr>
        <w:pStyle w:val="11"/>
        <w:spacing w:before="4" w:line="360" w:lineRule="auto"/>
        <w:rPr>
          <w:sz w:val="21"/>
          <w:szCs w:val="21"/>
        </w:rPr>
      </w:pPr>
    </w:p>
    <w:p>
      <w:pPr>
        <w:pStyle w:val="11"/>
        <w:spacing w:before="4" w:line="360" w:lineRule="auto"/>
        <w:rPr>
          <w:sz w:val="21"/>
          <w:szCs w:val="21"/>
        </w:rPr>
      </w:pPr>
    </w:p>
    <w:p>
      <w:pPr>
        <w:spacing w:line="360" w:lineRule="auto"/>
        <w:jc w:val="left"/>
        <w:rPr>
          <w:rFonts w:ascii="宋体" w:hAnsi="宋体" w:cs="黑体"/>
          <w:b/>
        </w:rPr>
      </w:pPr>
      <w:r>
        <w:rPr>
          <w:rFonts w:hint="eastAsia" w:ascii="宋体" w:hAnsi="宋体" w:cs="黑体"/>
          <w:b/>
        </w:rPr>
        <w:t>附录1:</w:t>
      </w:r>
    </w:p>
    <w:p>
      <w:pPr>
        <w:spacing w:line="360" w:lineRule="auto"/>
        <w:jc w:val="center"/>
        <w:rPr>
          <w:rFonts w:ascii="宋体" w:hAnsi="宋体" w:cs="黑体"/>
          <w:b/>
        </w:rPr>
      </w:pPr>
      <w:r>
        <w:rPr>
          <w:rFonts w:hint="eastAsia" w:ascii="宋体" w:hAnsi="宋体" w:cs="黑体"/>
          <w:b/>
        </w:rPr>
        <w:t>供应商诚信承诺书</w:t>
      </w:r>
    </w:p>
    <w:p>
      <w:pPr>
        <w:pStyle w:val="28"/>
        <w:widowControl w:val="0"/>
        <w:spacing w:line="360" w:lineRule="auto"/>
        <w:rPr>
          <w:rFonts w:ascii="宋体" w:hAnsi="宋体"/>
          <w:b/>
          <w:bCs/>
          <w:u w:val="single"/>
        </w:rPr>
      </w:pPr>
      <w:r>
        <w:rPr>
          <w:rFonts w:hint="eastAsia" w:ascii="宋体" w:hAnsi="宋体"/>
          <w:b/>
          <w:bCs/>
        </w:rPr>
        <w:t>致：</w:t>
      </w:r>
      <w:r>
        <w:rPr>
          <w:rFonts w:hint="eastAsia" w:ascii="宋体" w:hAnsi="宋体"/>
          <w:b/>
          <w:bCs/>
          <w:u w:val="single"/>
        </w:rPr>
        <w:t xml:space="preserve">  （采购人）</w:t>
      </w:r>
    </w:p>
    <w:p>
      <w:pPr>
        <w:spacing w:line="360" w:lineRule="auto"/>
        <w:ind w:firstLine="420" w:firstLineChars="200"/>
        <w:rPr>
          <w:rFonts w:ascii="宋体" w:hAnsi="宋体" w:cs="仿宋"/>
        </w:rPr>
      </w:pPr>
      <w:r>
        <w:rPr>
          <w:rFonts w:hint="eastAsia" w:ascii="宋体" w:hAnsi="宋体" w:cs="仿宋"/>
        </w:rPr>
        <w:t>我单位参加本次磋商，承诺如下：</w:t>
      </w:r>
    </w:p>
    <w:p>
      <w:pPr>
        <w:spacing w:line="360" w:lineRule="auto"/>
        <w:ind w:firstLine="420" w:firstLineChars="200"/>
        <w:rPr>
          <w:rFonts w:ascii="宋体" w:hAnsi="宋体" w:cs="仿宋"/>
        </w:rPr>
      </w:pPr>
      <w:r>
        <w:rPr>
          <w:rFonts w:hint="eastAsia" w:ascii="宋体" w:hAnsi="宋体" w:cs="仿宋"/>
        </w:rPr>
        <w:t>1. 提供的所有资料都是真实有效。如被发现提供虚假资料或虚假承诺（声明），同意取消磋商和成交候选人资格。</w:t>
      </w:r>
    </w:p>
    <w:p>
      <w:pPr>
        <w:spacing w:line="360" w:lineRule="auto"/>
        <w:ind w:firstLine="420" w:firstLineChars="200"/>
        <w:rPr>
          <w:rFonts w:ascii="宋体" w:hAnsi="宋体" w:cs="仿宋"/>
        </w:rPr>
      </w:pPr>
      <w:r>
        <w:rPr>
          <w:rFonts w:hint="eastAsia" w:ascii="宋体" w:hAnsi="宋体" w:cs="仿宋"/>
        </w:rPr>
        <w:t>2. 不存在借用资质、串通投标等情形。如被发现，同意取消磋商和成交候选人资格。</w:t>
      </w:r>
    </w:p>
    <w:p>
      <w:pPr>
        <w:spacing w:line="360" w:lineRule="auto"/>
        <w:ind w:firstLine="420" w:firstLineChars="200"/>
        <w:rPr>
          <w:rFonts w:ascii="宋体" w:hAnsi="宋体" w:cs="仿宋"/>
        </w:rPr>
      </w:pPr>
      <w:r>
        <w:rPr>
          <w:rFonts w:hint="eastAsia" w:ascii="宋体" w:hAnsi="宋体" w:cs="仿宋"/>
        </w:rPr>
        <w:t>3．如我方为成交候选人，除不可抗力（是指不能预见、不能避免并不能克服的客观情况，包括自然灾害和社会突发事件，如地震、海啸、瘟疫、水灾、骚乱、暴动、战争等），不因任何其它原因放弃成交候选人资格。</w:t>
      </w:r>
    </w:p>
    <w:p>
      <w:pPr>
        <w:spacing w:line="360" w:lineRule="auto"/>
        <w:ind w:firstLine="420" w:firstLineChars="200"/>
        <w:rPr>
          <w:rFonts w:ascii="宋体" w:hAnsi="宋体" w:cs="仿宋"/>
        </w:rPr>
      </w:pPr>
      <w:r>
        <w:rPr>
          <w:rFonts w:hint="eastAsia" w:ascii="宋体" w:hAnsi="宋体" w:cs="仿宋"/>
        </w:rPr>
        <w:t>4、我方成交后，严格按照采购文件和我单位响应文件的约定签订合同。</w:t>
      </w:r>
    </w:p>
    <w:p>
      <w:pPr>
        <w:spacing w:line="360" w:lineRule="auto"/>
        <w:ind w:firstLine="420" w:firstLineChars="200"/>
        <w:rPr>
          <w:rFonts w:ascii="宋体" w:hAnsi="宋体" w:cs="仿宋"/>
        </w:rPr>
      </w:pPr>
      <w:r>
        <w:rPr>
          <w:rFonts w:hint="eastAsia" w:ascii="宋体" w:hAnsi="宋体" w:cs="仿宋"/>
        </w:rPr>
        <w:t>5、我方同意将达不到供应商资格要求条件仍参与磋商或被行政主管部门、监督管理部门等暂停、取消公共资源交易资格且在限制期内仍参与磋商的情形视为弄虚作假，愿意接受处理。</w:t>
      </w:r>
    </w:p>
    <w:p>
      <w:pPr>
        <w:spacing w:line="360" w:lineRule="auto"/>
        <w:ind w:firstLine="420" w:firstLineChars="200"/>
        <w:rPr>
          <w:rFonts w:ascii="宋体" w:hAnsi="宋体" w:cs="仿宋"/>
        </w:rPr>
      </w:pPr>
      <w:r>
        <w:rPr>
          <w:rFonts w:hint="eastAsia" w:ascii="宋体" w:hAnsi="宋体" w:cs="仿宋"/>
        </w:rPr>
        <w:t>6、我方参与磋商如出现报价高于或等于该项目最高限价的情形，同意视为串通投标并接受处理。</w:t>
      </w:r>
    </w:p>
    <w:p>
      <w:pPr>
        <w:spacing w:line="360" w:lineRule="auto"/>
        <w:ind w:firstLine="420" w:firstLineChars="200"/>
        <w:rPr>
          <w:rFonts w:ascii="宋体" w:hAnsi="宋体" w:cs="华文仿宋"/>
          <w:kern w:val="0"/>
        </w:rPr>
      </w:pPr>
      <w:r>
        <w:rPr>
          <w:rFonts w:hint="eastAsia" w:ascii="宋体" w:hAnsi="宋体" w:cs="华文仿宋"/>
          <w:kern w:val="0"/>
        </w:rPr>
        <w:t>出现违反上述承诺情形之一的，我单位还同意在 1 至 3 年内不参与阜阳市公共资源交易活动，且后期我单位不因公司表现良好等各种理由向采购人申请予以恢复参与阜阳市公共资源交易活动，采购人也不应以公司表现良好等各种理由为由提前解除对我单位的处理。愿意公开披露我单位违反承诺的不良行为信息，愿意接受处罚并承担所有经济损失和法律责任。</w:t>
      </w:r>
    </w:p>
    <w:p>
      <w:pPr>
        <w:spacing w:line="360" w:lineRule="auto"/>
        <w:ind w:firstLine="420" w:firstLineChars="200"/>
        <w:rPr>
          <w:rFonts w:ascii="宋体" w:hAnsi="宋体"/>
        </w:rPr>
      </w:pPr>
      <w:r>
        <w:rPr>
          <w:rFonts w:hint="eastAsia" w:ascii="宋体" w:hAnsi="宋体"/>
        </w:rPr>
        <w:t xml:space="preserve">后期履约过程中除不可抗力外如我单位放弃（拒绝）履约，同意采购人（甲方）不予退还履约保证金，我单位（乙方）不要求退还履约保证金，我单位（乙方）三年不参与阜阳市公共资源交易活动，且在处理期间不因公司表现良好等各种理由向采购人申请予以提前恢复参与阜阳市公共资源交易活动，采购人（甲方）也不能以公司表现良好等各种理由为由提前解除对我单位（乙方）的处理。 </w:t>
      </w:r>
    </w:p>
    <w:p>
      <w:pPr>
        <w:spacing w:line="360" w:lineRule="auto"/>
        <w:ind w:firstLine="522" w:firstLineChars="249"/>
        <w:rPr>
          <w:rFonts w:ascii="宋体" w:hAnsi="宋体"/>
        </w:rPr>
      </w:pPr>
      <w:r>
        <w:rPr>
          <w:rFonts w:hint="eastAsia" w:ascii="宋体" w:hAnsi="宋体"/>
        </w:rPr>
        <w:t>此承诺不受磋商有效期的限制。</w:t>
      </w:r>
    </w:p>
    <w:p>
      <w:pPr>
        <w:spacing w:line="360" w:lineRule="auto"/>
        <w:ind w:firstLine="420" w:firstLineChars="200"/>
        <w:rPr>
          <w:rFonts w:ascii="宋体" w:hAnsi="宋体" w:cs="华文仿宋"/>
          <w:kern w:val="0"/>
        </w:rPr>
      </w:pPr>
    </w:p>
    <w:p>
      <w:pPr>
        <w:pStyle w:val="28"/>
        <w:widowControl w:val="0"/>
        <w:spacing w:line="360" w:lineRule="auto"/>
        <w:ind w:firstLine="420"/>
        <w:rPr>
          <w:rFonts w:ascii="宋体" w:hAnsi="宋体" w:cs="宋体"/>
          <w:u w:val="single"/>
        </w:rPr>
      </w:pPr>
      <w:r>
        <w:rPr>
          <w:rFonts w:hint="eastAsia" w:ascii="宋体" w:hAnsi="宋体" w:cs="宋体"/>
        </w:rPr>
        <w:t xml:space="preserve">                      </w:t>
      </w:r>
      <w:r>
        <w:rPr>
          <w:rFonts w:hint="eastAsia" w:ascii="宋体" w:hAnsi="宋体"/>
        </w:rPr>
        <w:t>供应商</w:t>
      </w:r>
      <w:r>
        <w:rPr>
          <w:rFonts w:hint="eastAsia" w:ascii="宋体" w:hAnsi="宋体"/>
          <w:lang w:eastAsia="zh-CN"/>
        </w:rPr>
        <w:t>签章</w:t>
      </w:r>
      <w:r>
        <w:rPr>
          <w:rFonts w:hint="eastAsia" w:ascii="宋体" w:hAnsi="宋体" w:cs="宋体"/>
        </w:rPr>
        <w:t>：</w:t>
      </w:r>
      <w:r>
        <w:rPr>
          <w:rFonts w:hint="eastAsia" w:ascii="宋体" w:hAnsi="宋体" w:cs="宋体"/>
          <w:u w:val="single"/>
        </w:rPr>
        <w:t xml:space="preserve">                       </w:t>
      </w:r>
    </w:p>
    <w:p>
      <w:pPr>
        <w:pStyle w:val="28"/>
        <w:widowControl w:val="0"/>
        <w:spacing w:line="360" w:lineRule="auto"/>
        <w:ind w:firstLine="2362" w:firstLineChars="1125"/>
        <w:rPr>
          <w:rFonts w:ascii="宋体" w:hAnsi="宋体"/>
        </w:rPr>
      </w:pPr>
      <w:r>
        <w:rPr>
          <w:rFonts w:hint="eastAsia" w:ascii="宋体" w:hAnsi="宋体"/>
        </w:rPr>
        <w:t>法定代表人或其委托代理人：</w:t>
      </w:r>
      <w:r>
        <w:rPr>
          <w:rFonts w:hint="eastAsia" w:ascii="宋体" w:hAnsi="宋体"/>
          <w:u w:val="single"/>
        </w:rPr>
        <w:t>（签字或盖章）</w:t>
      </w:r>
    </w:p>
    <w:p>
      <w:pPr>
        <w:pStyle w:val="28"/>
        <w:widowControl w:val="0"/>
        <w:spacing w:line="360" w:lineRule="auto"/>
        <w:ind w:firstLine="420"/>
        <w:jc w:val="center"/>
        <w:rPr>
          <w:rFonts w:hint="eastAsia" w:ascii="宋体" w:hAnsi="宋体" w:cs="宋体"/>
        </w:rPr>
      </w:pPr>
      <w:r>
        <w:rPr>
          <w:rFonts w:hint="eastAsia" w:ascii="宋体" w:hAnsi="宋体" w:cs="宋体"/>
        </w:rPr>
        <w:t xml:space="preserve">                                               年   月    日</w:t>
      </w:r>
    </w:p>
    <w:p>
      <w:pPr>
        <w:pStyle w:val="10"/>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2"/>
        <w:rPr>
          <w:rFonts w:hint="eastAsia"/>
        </w:rPr>
      </w:pPr>
    </w:p>
    <w:p>
      <w:pPr>
        <w:rPr>
          <w:rFonts w:hint="eastAsia"/>
        </w:rPr>
      </w:pPr>
    </w:p>
    <w:p>
      <w:pPr>
        <w:rPr>
          <w:rFonts w:hint="eastAsia"/>
        </w:rPr>
      </w:pPr>
    </w:p>
    <w:p>
      <w:pPr>
        <w:pStyle w:val="8"/>
        <w:keepNext w:val="0"/>
        <w:keepLines w:val="0"/>
        <w:autoSpaceDE w:val="0"/>
        <w:autoSpaceDN w:val="0"/>
        <w:spacing w:before="104" w:after="0" w:line="360" w:lineRule="auto"/>
        <w:ind w:left="1367" w:right="1503"/>
        <w:jc w:val="center"/>
        <w:rPr>
          <w:rFonts w:ascii="宋体" w:hAnsi="宋体" w:cs="宋体"/>
          <w:kern w:val="0"/>
          <w:sz w:val="21"/>
          <w:szCs w:val="21"/>
          <w:lang w:val="zh-CN" w:bidi="zh-CN"/>
        </w:rPr>
      </w:pPr>
      <w:r>
        <w:rPr>
          <w:rFonts w:ascii="宋体" w:hAnsi="宋体" w:cs="宋体"/>
          <w:kern w:val="0"/>
          <w:sz w:val="21"/>
          <w:szCs w:val="21"/>
          <w:lang w:val="zh-CN" w:bidi="zh-CN"/>
        </w:rPr>
        <w:t>四、无重大违法记录声明函、无不良信用记录声明函</w:t>
      </w:r>
    </w:p>
    <w:p>
      <w:pPr>
        <w:autoSpaceDE w:val="0"/>
        <w:autoSpaceDN w:val="0"/>
        <w:jc w:val="left"/>
        <w:rPr>
          <w:rFonts w:ascii="宋体" w:hAnsi="宋体" w:cs="宋体"/>
          <w:b/>
          <w:kern w:val="0"/>
          <w:lang w:val="zh-CN" w:bidi="zh-CN"/>
        </w:rPr>
      </w:pPr>
      <w:r>
        <w:rPr>
          <w:rFonts w:ascii="宋体" w:hAnsi="宋体" w:cs="宋体"/>
          <w:b/>
          <w:kern w:val="0"/>
          <w:lang w:val="zh-CN" w:bidi="zh-CN"/>
        </w:rPr>
        <w:t>(联合体参加磋商的，联合体双方均须提供）</w:t>
      </w:r>
    </w:p>
    <w:p>
      <w:pPr>
        <w:pStyle w:val="26"/>
        <w:numPr>
          <w:ilvl w:val="0"/>
          <w:numId w:val="27"/>
        </w:numPr>
        <w:tabs>
          <w:tab w:val="left" w:pos="1236"/>
        </w:tabs>
        <w:autoSpaceDE w:val="0"/>
        <w:autoSpaceDN w:val="0"/>
        <w:spacing w:before="192" w:line="360" w:lineRule="auto"/>
        <w:ind w:right="557" w:firstLine="434" w:firstLineChars="0"/>
        <w:rPr>
          <w:rFonts w:ascii="宋体" w:hAnsi="宋体"/>
          <w:szCs w:val="21"/>
        </w:rPr>
      </w:pPr>
      <w:r>
        <w:rPr>
          <w:rFonts w:ascii="宋体" w:hAnsi="宋体"/>
          <w:szCs w:val="21"/>
        </w:rPr>
        <w:t>本单位郑重声明，根据《中华人民共和国政府采购法》及《中华人民共和国政府采购法实施条例》的规定，参加政府采购活动前三年内，本单位在经营活动中没有重大违法记录，没有因违法经营受到刑事处罚或者责令停产停业、吊销许可证或者执照、较大数额罚款等行政处罚，且未在被禁止参加政府采购活动的处罚期限内。</w:t>
      </w:r>
    </w:p>
    <w:p>
      <w:pPr>
        <w:pStyle w:val="26"/>
        <w:numPr>
          <w:ilvl w:val="0"/>
          <w:numId w:val="27"/>
        </w:numPr>
        <w:tabs>
          <w:tab w:val="left" w:pos="1236"/>
        </w:tabs>
        <w:autoSpaceDE w:val="0"/>
        <w:autoSpaceDN w:val="0"/>
        <w:spacing w:before="3" w:line="360" w:lineRule="auto"/>
        <w:ind w:left="1235" w:hanging="242" w:firstLineChars="0"/>
        <w:rPr>
          <w:rFonts w:ascii="宋体" w:hAnsi="宋体"/>
          <w:szCs w:val="21"/>
        </w:rPr>
      </w:pPr>
      <w:r>
        <w:rPr>
          <w:rFonts w:ascii="宋体" w:hAnsi="宋体"/>
          <w:szCs w:val="21"/>
        </w:rPr>
        <w:t>本单位郑重声明，我单位无以下不良信用记录情形：</w:t>
      </w:r>
    </w:p>
    <w:p>
      <w:pPr>
        <w:pStyle w:val="26"/>
        <w:numPr>
          <w:ilvl w:val="0"/>
          <w:numId w:val="28"/>
        </w:numPr>
        <w:tabs>
          <w:tab w:val="left" w:pos="1596"/>
        </w:tabs>
        <w:autoSpaceDE w:val="0"/>
        <w:autoSpaceDN w:val="0"/>
        <w:spacing w:before="131" w:line="360" w:lineRule="auto"/>
        <w:ind w:hanging="602" w:firstLineChars="0"/>
        <w:rPr>
          <w:rFonts w:ascii="宋体" w:hAnsi="宋体"/>
          <w:szCs w:val="21"/>
        </w:rPr>
      </w:pPr>
      <w:r>
        <w:rPr>
          <w:rFonts w:ascii="宋体" w:hAnsi="宋体"/>
          <w:szCs w:val="21"/>
        </w:rPr>
        <w:t>被人民法院列入失信被执行人；</w:t>
      </w:r>
    </w:p>
    <w:p>
      <w:pPr>
        <w:pStyle w:val="26"/>
        <w:numPr>
          <w:ilvl w:val="0"/>
          <w:numId w:val="28"/>
        </w:numPr>
        <w:tabs>
          <w:tab w:val="left" w:pos="1602"/>
        </w:tabs>
        <w:autoSpaceDE w:val="0"/>
        <w:autoSpaceDN w:val="0"/>
        <w:spacing w:before="132" w:line="360" w:lineRule="auto"/>
        <w:ind w:left="560" w:right="557" w:firstLine="434" w:firstLineChars="0"/>
        <w:rPr>
          <w:rFonts w:ascii="宋体" w:hAnsi="宋体"/>
          <w:szCs w:val="21"/>
        </w:rPr>
      </w:pPr>
      <w:r>
        <w:rPr>
          <w:rFonts w:ascii="宋体" w:hAnsi="宋体"/>
          <w:szCs w:val="21"/>
        </w:rPr>
        <w:t>单位、法定代表人或拟派项目经理（项目负责人）被人民检察院列入行贿犯罪档案；</w:t>
      </w:r>
    </w:p>
    <w:p>
      <w:pPr>
        <w:pStyle w:val="26"/>
        <w:numPr>
          <w:ilvl w:val="0"/>
          <w:numId w:val="28"/>
        </w:numPr>
        <w:tabs>
          <w:tab w:val="left" w:pos="1596"/>
        </w:tabs>
        <w:autoSpaceDE w:val="0"/>
        <w:autoSpaceDN w:val="0"/>
        <w:spacing w:line="360" w:lineRule="auto"/>
        <w:ind w:hanging="602" w:firstLineChars="0"/>
        <w:rPr>
          <w:rFonts w:ascii="宋体" w:hAnsi="宋体"/>
          <w:szCs w:val="21"/>
        </w:rPr>
      </w:pPr>
      <w:r>
        <w:rPr>
          <w:rFonts w:ascii="宋体" w:hAnsi="宋体"/>
          <w:szCs w:val="21"/>
        </w:rPr>
        <w:t>被工商行政管理部门列入企业经营异常名录；</w:t>
      </w:r>
    </w:p>
    <w:p>
      <w:pPr>
        <w:pStyle w:val="26"/>
        <w:numPr>
          <w:ilvl w:val="0"/>
          <w:numId w:val="28"/>
        </w:numPr>
        <w:tabs>
          <w:tab w:val="left" w:pos="1596"/>
        </w:tabs>
        <w:autoSpaceDE w:val="0"/>
        <w:autoSpaceDN w:val="0"/>
        <w:spacing w:before="132" w:line="360" w:lineRule="auto"/>
        <w:ind w:hanging="602" w:firstLineChars="0"/>
        <w:rPr>
          <w:rFonts w:ascii="宋体" w:hAnsi="宋体"/>
          <w:szCs w:val="21"/>
        </w:rPr>
      </w:pPr>
      <w:r>
        <w:rPr>
          <w:rFonts w:ascii="宋体" w:hAnsi="宋体"/>
          <w:szCs w:val="21"/>
        </w:rPr>
        <w:t>被税务部门列入重大税收违法案件当事人名单；</w:t>
      </w:r>
    </w:p>
    <w:p>
      <w:pPr>
        <w:pStyle w:val="26"/>
        <w:numPr>
          <w:ilvl w:val="0"/>
          <w:numId w:val="28"/>
        </w:numPr>
        <w:tabs>
          <w:tab w:val="left" w:pos="1596"/>
          <w:tab w:val="left" w:pos="6755"/>
        </w:tabs>
        <w:autoSpaceDE w:val="0"/>
        <w:autoSpaceDN w:val="0"/>
        <w:spacing w:before="134" w:line="360" w:lineRule="auto"/>
        <w:ind w:left="994" w:right="1108" w:firstLine="0" w:firstLineChars="0"/>
        <w:rPr>
          <w:rFonts w:ascii="宋体" w:hAnsi="宋体"/>
          <w:szCs w:val="21"/>
        </w:rPr>
      </w:pPr>
      <w:r>
        <w:rPr>
          <w:rFonts w:ascii="宋体" w:hAnsi="宋体"/>
          <w:szCs w:val="21"/>
        </w:rPr>
        <w:t>被政府采购监管部门列入政府采购严重违法失信行为记录名单。</w:t>
      </w:r>
    </w:p>
    <w:p>
      <w:pPr>
        <w:pStyle w:val="11"/>
        <w:spacing w:before="3" w:line="360" w:lineRule="auto"/>
        <w:rPr>
          <w:sz w:val="21"/>
          <w:szCs w:val="21"/>
        </w:rPr>
      </w:pPr>
    </w:p>
    <w:p>
      <w:pPr>
        <w:pStyle w:val="11"/>
        <w:spacing w:before="66" w:line="360" w:lineRule="auto"/>
        <w:ind w:left="994"/>
        <w:rPr>
          <w:sz w:val="21"/>
          <w:szCs w:val="21"/>
        </w:rPr>
      </w:pPr>
      <w:r>
        <w:rPr>
          <w:sz w:val="21"/>
          <w:szCs w:val="21"/>
        </w:rPr>
        <w:t>本单位对上述声明的真实性负责。如有虚假，将依法承担相应责任。</w:t>
      </w:r>
    </w:p>
    <w:p>
      <w:pPr>
        <w:pStyle w:val="11"/>
        <w:tabs>
          <w:tab w:val="left" w:pos="6801"/>
          <w:tab w:val="left" w:pos="8896"/>
        </w:tabs>
        <w:spacing w:before="132" w:line="360" w:lineRule="auto"/>
        <w:ind w:left="5361" w:right="527"/>
        <w:rPr>
          <w:sz w:val="21"/>
          <w:szCs w:val="21"/>
          <w:u w:val="single"/>
        </w:rPr>
      </w:pPr>
      <w:r>
        <w:rPr>
          <w:sz w:val="21"/>
          <w:szCs w:val="21"/>
        </w:rPr>
        <w:t>供应商</w:t>
      </w:r>
      <w:r>
        <w:rPr>
          <w:rFonts w:hint="eastAsia"/>
          <w:sz w:val="21"/>
          <w:szCs w:val="21"/>
          <w:lang w:eastAsia="zh-CN"/>
        </w:rPr>
        <w:t>签章</w:t>
      </w:r>
      <w:r>
        <w:rPr>
          <w:sz w:val="21"/>
          <w:szCs w:val="21"/>
        </w:rPr>
        <w:t>：</w:t>
      </w:r>
      <w:r>
        <w:rPr>
          <w:sz w:val="21"/>
          <w:szCs w:val="21"/>
          <w:u w:val="single"/>
        </w:rPr>
        <w:t xml:space="preserve"> </w:t>
      </w:r>
      <w:r>
        <w:rPr>
          <w:sz w:val="21"/>
          <w:szCs w:val="21"/>
          <w:u w:val="single"/>
        </w:rPr>
        <w:tab/>
      </w:r>
      <w:r>
        <w:rPr>
          <w:sz w:val="21"/>
          <w:szCs w:val="21"/>
          <w:u w:val="single"/>
        </w:rPr>
        <w:t xml:space="preserve"> </w:t>
      </w:r>
    </w:p>
    <w:p>
      <w:pPr>
        <w:pStyle w:val="11"/>
        <w:tabs>
          <w:tab w:val="left" w:pos="6801"/>
          <w:tab w:val="left" w:pos="8896"/>
        </w:tabs>
        <w:spacing w:before="132" w:line="360" w:lineRule="auto"/>
        <w:ind w:left="5361" w:right="527"/>
        <w:rPr>
          <w:sz w:val="21"/>
          <w:szCs w:val="21"/>
          <w:u w:val="single"/>
        </w:rPr>
      </w:pPr>
      <w:r>
        <w:rPr>
          <w:sz w:val="21"/>
          <w:szCs w:val="21"/>
        </w:rPr>
        <w:t>日</w:t>
      </w:r>
      <w:r>
        <w:rPr>
          <w:sz w:val="21"/>
          <w:szCs w:val="21"/>
        </w:rPr>
        <w:tab/>
      </w:r>
      <w:r>
        <w:rPr>
          <w:sz w:val="21"/>
          <w:szCs w:val="21"/>
        </w:rPr>
        <w:t>期：</w:t>
      </w:r>
      <w:r>
        <w:rPr>
          <w:sz w:val="21"/>
          <w:szCs w:val="21"/>
          <w:u w:val="single"/>
        </w:rPr>
        <w:t xml:space="preserve"> </w:t>
      </w:r>
      <w:r>
        <w:rPr>
          <w:sz w:val="21"/>
          <w:szCs w:val="21"/>
          <w:u w:val="single"/>
        </w:rPr>
        <w:tab/>
      </w:r>
    </w:p>
    <w:p>
      <w:pPr>
        <w:rPr>
          <w:sz w:val="21"/>
          <w:szCs w:val="21"/>
          <w:u w:val="single"/>
        </w:rPr>
      </w:pPr>
      <w:r>
        <w:rPr>
          <w:sz w:val="21"/>
          <w:szCs w:val="21"/>
          <w:u w:val="single"/>
        </w:rPr>
        <w:br w:type="page"/>
      </w:r>
    </w:p>
    <w:p>
      <w:pPr>
        <w:pStyle w:val="8"/>
        <w:keepNext w:val="0"/>
        <w:keepLines w:val="0"/>
        <w:autoSpaceDE w:val="0"/>
        <w:autoSpaceDN w:val="0"/>
        <w:spacing w:before="104" w:after="0" w:line="360" w:lineRule="auto"/>
        <w:ind w:left="1367" w:right="1503"/>
        <w:jc w:val="center"/>
        <w:rPr>
          <w:rFonts w:ascii="宋体" w:hAnsi="宋体" w:cs="宋体"/>
          <w:kern w:val="0"/>
          <w:sz w:val="21"/>
          <w:szCs w:val="21"/>
          <w:lang w:val="zh-CN" w:bidi="zh-CN"/>
        </w:rPr>
      </w:pPr>
      <w:r>
        <w:rPr>
          <w:rFonts w:ascii="宋体" w:hAnsi="宋体" w:cs="宋体"/>
          <w:kern w:val="0"/>
          <w:sz w:val="21"/>
          <w:szCs w:val="21"/>
          <w:lang w:val="zh-CN" w:bidi="zh-CN"/>
        </w:rPr>
        <w:t>五、</w:t>
      </w:r>
      <w:r>
        <w:rPr>
          <w:rFonts w:hint="eastAsia" w:ascii="宋体" w:hAnsi="宋体" w:cs="宋体"/>
          <w:kern w:val="0"/>
          <w:sz w:val="21"/>
          <w:szCs w:val="21"/>
          <w:lang w:val="zh-CN" w:bidi="zh-CN"/>
        </w:rPr>
        <w:t>法定代表人</w:t>
      </w:r>
      <w:r>
        <w:rPr>
          <w:rFonts w:ascii="宋体" w:hAnsi="宋体" w:cs="宋体"/>
          <w:kern w:val="0"/>
          <w:sz w:val="21"/>
          <w:szCs w:val="21"/>
          <w:lang w:val="zh-CN" w:bidi="zh-CN"/>
        </w:rPr>
        <w:t>授权</w:t>
      </w:r>
      <w:r>
        <w:rPr>
          <w:rFonts w:hint="eastAsia" w:ascii="宋体" w:hAnsi="宋体" w:cs="宋体"/>
          <w:kern w:val="0"/>
          <w:sz w:val="21"/>
          <w:szCs w:val="21"/>
          <w:lang w:val="zh-CN" w:bidi="zh-CN"/>
        </w:rPr>
        <w:t>委托</w:t>
      </w:r>
      <w:r>
        <w:rPr>
          <w:rFonts w:ascii="宋体" w:hAnsi="宋体" w:cs="宋体"/>
          <w:kern w:val="0"/>
          <w:sz w:val="21"/>
          <w:szCs w:val="21"/>
          <w:lang w:val="zh-CN" w:bidi="zh-CN"/>
        </w:rPr>
        <w:t>书</w:t>
      </w:r>
    </w:p>
    <w:p>
      <w:pPr>
        <w:pStyle w:val="11"/>
        <w:spacing w:line="360" w:lineRule="auto"/>
        <w:rPr>
          <w:b/>
          <w:sz w:val="21"/>
          <w:szCs w:val="21"/>
          <w:lang w:val="en-US"/>
        </w:rPr>
      </w:pPr>
    </w:p>
    <w:p>
      <w:pPr>
        <w:spacing w:line="360" w:lineRule="auto"/>
        <w:ind w:firstLine="645"/>
        <w:rPr>
          <w:rFonts w:ascii="宋体" w:hAnsi="宋体"/>
        </w:rPr>
      </w:pPr>
      <w:r>
        <w:rPr>
          <w:rFonts w:hint="eastAsia" w:ascii="宋体" w:hAnsi="宋体"/>
        </w:rPr>
        <w:t>本授权书声明：</w:t>
      </w:r>
      <w:r>
        <w:rPr>
          <w:rFonts w:hint="eastAsia" w:ascii="宋体" w:hAnsi="宋体"/>
          <w:u w:val="single"/>
        </w:rPr>
        <w:t xml:space="preserve">           </w:t>
      </w:r>
      <w:r>
        <w:rPr>
          <w:rFonts w:hint="eastAsia" w:ascii="宋体" w:hAnsi="宋体"/>
        </w:rPr>
        <w:t>公司（工厂）（纳税人识别号：</w:t>
      </w:r>
      <w:r>
        <w:rPr>
          <w:rFonts w:hint="eastAsia" w:ascii="宋体" w:hAnsi="宋体"/>
          <w:u w:val="single"/>
        </w:rPr>
        <w:t xml:space="preserve">   </w:t>
      </w:r>
      <w:r>
        <w:rPr>
          <w:rFonts w:hint="eastAsia" w:ascii="宋体" w:hAnsi="宋体"/>
        </w:rPr>
        <w:t>）的</w:t>
      </w:r>
      <w:r>
        <w:rPr>
          <w:rFonts w:hint="eastAsia" w:ascii="宋体" w:hAnsi="宋体"/>
          <w:u w:val="single"/>
        </w:rPr>
        <w:t xml:space="preserve">       </w:t>
      </w:r>
      <w:r>
        <w:rPr>
          <w:rFonts w:hint="eastAsia" w:ascii="宋体" w:hAnsi="宋体"/>
        </w:rPr>
        <w:t>（法人代表姓名、职务）代表本公司（工厂）授权本公司（工厂）</w:t>
      </w:r>
      <w:r>
        <w:rPr>
          <w:rFonts w:hint="eastAsia" w:ascii="宋体" w:hAnsi="宋体"/>
          <w:u w:val="single"/>
        </w:rPr>
        <w:t xml:space="preserve">        </w:t>
      </w:r>
      <w:r>
        <w:rPr>
          <w:rFonts w:hint="eastAsia" w:ascii="宋体" w:hAnsi="宋体"/>
        </w:rPr>
        <w:t>（被授权人的姓名、职务）为本公司（工厂）的合法代理人，参加</w:t>
      </w:r>
      <w:r>
        <w:rPr>
          <w:rFonts w:hint="eastAsia" w:ascii="宋体" w:hAnsi="宋体"/>
          <w:u w:val="single"/>
        </w:rPr>
        <w:t xml:space="preserve">                     </w:t>
      </w:r>
      <w:r>
        <w:rPr>
          <w:rFonts w:hint="eastAsia" w:ascii="宋体" w:hAnsi="宋体"/>
        </w:rPr>
        <w:t>采购项目活动（项目编号</w:t>
      </w:r>
      <w:r>
        <w:rPr>
          <w:rFonts w:hint="eastAsia" w:ascii="宋体" w:hAnsi="宋体"/>
          <w:u w:val="single"/>
        </w:rPr>
        <w:t xml:space="preserve">：             </w:t>
      </w:r>
      <w:r>
        <w:rPr>
          <w:rFonts w:hint="eastAsia" w:ascii="宋体" w:hAnsi="宋体"/>
        </w:rPr>
        <w:t>），全权代表本公司处理磋商过程的一切事宜，包括但不限于：磋商、签约等。供应商代表在磋商过程中所签署的一切文件和处理与之有关的一切事务，本公司均予以认可并对此承担责任。被授权人无转委托权。特此授权。</w:t>
      </w:r>
    </w:p>
    <w:p>
      <w:pPr>
        <w:spacing w:line="360" w:lineRule="auto"/>
        <w:ind w:firstLine="645"/>
        <w:rPr>
          <w:rFonts w:ascii="宋体" w:hAnsi="宋体"/>
        </w:rPr>
      </w:pPr>
      <w:r>
        <w:rPr>
          <w:rFonts w:hint="eastAsia" w:ascii="宋体" w:hAnsi="宋体"/>
        </w:rPr>
        <w:t>本授权书自出具之日起生效。</w:t>
      </w:r>
    </w:p>
    <w:p>
      <w:pPr>
        <w:spacing w:line="360" w:lineRule="auto"/>
        <w:ind w:firstLine="645"/>
        <w:rPr>
          <w:rFonts w:ascii="宋体" w:hAnsi="宋体"/>
        </w:rPr>
      </w:pPr>
      <w:r>
        <w:rPr>
          <w:rFonts w:hint="eastAsia" w:ascii="宋体" w:hAnsi="宋体"/>
        </w:rPr>
        <w:t>特此声明。</w:t>
      </w:r>
    </w:p>
    <w:p>
      <w:pPr>
        <w:spacing w:line="360" w:lineRule="auto"/>
        <w:ind w:firstLine="645"/>
        <w:rPr>
          <w:rFonts w:ascii="宋体" w:hAnsi="宋体"/>
        </w:rPr>
      </w:pPr>
    </w:p>
    <w:p>
      <w:pPr>
        <w:spacing w:line="360" w:lineRule="auto"/>
        <w:ind w:firstLine="645"/>
        <w:rPr>
          <w:rFonts w:ascii="宋体" w:hAnsi="宋体"/>
        </w:rPr>
      </w:pPr>
      <w:r>
        <w:rPr>
          <w:rFonts w:hint="eastAsia" w:ascii="宋体" w:hAnsi="宋体"/>
        </w:rPr>
        <w:t>法定代表人联系方式：</w:t>
      </w:r>
      <w:r>
        <w:rPr>
          <w:rFonts w:hint="eastAsia" w:ascii="宋体" w:hAnsi="宋体"/>
          <w:u w:val="single"/>
        </w:rPr>
        <w:t xml:space="preserve">（手机号码）       </w:t>
      </w:r>
    </w:p>
    <w:p>
      <w:pPr>
        <w:spacing w:line="360" w:lineRule="auto"/>
        <w:ind w:firstLine="645"/>
        <w:rPr>
          <w:rFonts w:ascii="宋体" w:hAnsi="宋体"/>
        </w:rPr>
      </w:pPr>
      <w:r>
        <w:rPr>
          <w:rFonts w:hint="eastAsia" w:ascii="宋体" w:hAnsi="宋体"/>
        </w:rPr>
        <w:t>授权委托人联系方式：</w:t>
      </w:r>
      <w:r>
        <w:rPr>
          <w:rFonts w:hint="eastAsia" w:ascii="宋体" w:hAnsi="宋体"/>
          <w:u w:val="single"/>
        </w:rPr>
        <w:t xml:space="preserve">（手机号码）       </w:t>
      </w:r>
    </w:p>
    <w:p>
      <w:pPr>
        <w:spacing w:line="360" w:lineRule="auto"/>
        <w:ind w:firstLine="645"/>
        <w:rPr>
          <w:rFonts w:ascii="宋体" w:hAnsi="宋体"/>
        </w:rPr>
      </w:pPr>
    </w:p>
    <w:p>
      <w:pPr>
        <w:spacing w:line="360" w:lineRule="auto"/>
        <w:ind w:firstLine="645"/>
        <w:rPr>
          <w:rFonts w:ascii="宋体" w:hAnsi="宋体"/>
          <w:u w:val="single"/>
        </w:rPr>
      </w:pPr>
      <w:r>
        <w:rPr>
          <w:rFonts w:hint="eastAsia" w:ascii="宋体" w:hAnsi="宋体"/>
        </w:rPr>
        <w:t>法人代表签字或盖章：</w:t>
      </w:r>
      <w:r>
        <w:rPr>
          <w:rFonts w:hint="eastAsia" w:ascii="宋体" w:hAnsi="宋体"/>
          <w:u w:val="single"/>
        </w:rPr>
        <w:t xml:space="preserve">                    </w:t>
      </w:r>
    </w:p>
    <w:p>
      <w:pPr>
        <w:spacing w:line="360" w:lineRule="auto"/>
        <w:ind w:firstLine="645"/>
        <w:rPr>
          <w:rFonts w:ascii="宋体" w:hAnsi="宋体"/>
        </w:rPr>
      </w:pPr>
      <w:r>
        <w:rPr>
          <w:rFonts w:hint="eastAsia" w:ascii="宋体" w:hAnsi="宋体"/>
        </w:rPr>
        <w:t>代理人（被授权人）签字或盖章：</w:t>
      </w:r>
      <w:r>
        <w:rPr>
          <w:rFonts w:hint="eastAsia" w:ascii="宋体" w:hAnsi="宋体"/>
          <w:u w:val="single"/>
        </w:rPr>
        <w:t xml:space="preserve">              </w:t>
      </w:r>
    </w:p>
    <w:p>
      <w:pPr>
        <w:spacing w:line="360" w:lineRule="auto"/>
        <w:ind w:firstLine="645"/>
        <w:rPr>
          <w:rFonts w:ascii="宋体" w:hAnsi="宋体"/>
        </w:rPr>
      </w:pPr>
      <w:r>
        <w:rPr>
          <w:rFonts w:hint="eastAsia" w:ascii="宋体" w:hAnsi="宋体"/>
        </w:rPr>
        <w:t>供应商</w:t>
      </w:r>
      <w:r>
        <w:rPr>
          <w:rFonts w:hint="eastAsia" w:ascii="宋体" w:hAnsi="宋体"/>
          <w:lang w:eastAsia="zh-CN"/>
        </w:rPr>
        <w:t>签章</w:t>
      </w:r>
      <w:r>
        <w:rPr>
          <w:rFonts w:hint="eastAsia" w:ascii="宋体" w:hAnsi="宋体"/>
        </w:rPr>
        <w:t>：</w:t>
      </w:r>
      <w:r>
        <w:rPr>
          <w:rFonts w:hint="eastAsia" w:ascii="宋体" w:hAnsi="宋体"/>
          <w:u w:val="single"/>
        </w:rPr>
        <w:t xml:space="preserve">                       </w:t>
      </w:r>
    </w:p>
    <w:p>
      <w:pPr>
        <w:spacing w:line="360" w:lineRule="auto"/>
        <w:ind w:firstLine="645"/>
        <w:rPr>
          <w:rFonts w:ascii="宋体" w:hAnsi="宋体"/>
        </w:rPr>
      </w:pPr>
      <w:r>
        <w:rPr>
          <w:rFonts w:hint="eastAsia" w:ascii="宋体" w:hAnsi="宋体"/>
        </w:rPr>
        <w:t>授权委托日期：</w:t>
      </w:r>
      <w:r>
        <w:rPr>
          <w:rFonts w:hint="eastAsia" w:ascii="宋体" w:hAnsi="宋体"/>
          <w:u w:val="single"/>
        </w:rPr>
        <w:t xml:space="preserve">                 </w:t>
      </w:r>
    </w:p>
    <w:p>
      <w:pPr>
        <w:spacing w:line="360" w:lineRule="auto"/>
        <w:rPr>
          <w:rFonts w:ascii="宋体" w:hAnsi="宋体" w:cs="Arial"/>
          <w:b/>
          <w:color w:val="FF0000"/>
          <w:highlight w:val="yellow"/>
        </w:rPr>
      </w:pPr>
    </w:p>
    <w:p>
      <w:pPr>
        <w:pStyle w:val="11"/>
        <w:spacing w:before="66" w:line="360" w:lineRule="auto"/>
        <w:rPr>
          <w:sz w:val="21"/>
          <w:szCs w:val="21"/>
        </w:rPr>
      </w:pPr>
      <w:r>
        <w:rPr>
          <w:sz w:val="21"/>
          <w:szCs w:val="21"/>
        </w:rPr>
        <w:t>注：</w:t>
      </w:r>
    </w:p>
    <w:p>
      <w:pPr>
        <w:pStyle w:val="26"/>
        <w:numPr>
          <w:ilvl w:val="0"/>
          <w:numId w:val="29"/>
        </w:numPr>
        <w:tabs>
          <w:tab w:val="left" w:pos="896"/>
        </w:tabs>
        <w:autoSpaceDE w:val="0"/>
        <w:autoSpaceDN w:val="0"/>
        <w:spacing w:before="161" w:line="360" w:lineRule="auto"/>
        <w:ind w:hanging="242" w:firstLineChars="0"/>
        <w:rPr>
          <w:rFonts w:ascii="宋体" w:hAnsi="宋体"/>
          <w:szCs w:val="21"/>
        </w:rPr>
      </w:pPr>
      <w:r>
        <w:rPr>
          <w:rFonts w:ascii="宋体" w:hAnsi="宋体"/>
          <w:szCs w:val="21"/>
        </w:rPr>
        <w:t>本项目只允许有唯一的</w:t>
      </w:r>
      <w:r>
        <w:rPr>
          <w:rFonts w:hint="eastAsia" w:ascii="宋体" w:hAnsi="宋体"/>
          <w:szCs w:val="21"/>
        </w:rPr>
        <w:t>供应商</w:t>
      </w:r>
      <w:r>
        <w:rPr>
          <w:rFonts w:ascii="宋体" w:hAnsi="宋体"/>
          <w:szCs w:val="21"/>
        </w:rPr>
        <w:t>授权代表，提供身份证明扫描件；</w:t>
      </w:r>
    </w:p>
    <w:p>
      <w:pPr>
        <w:pStyle w:val="26"/>
        <w:numPr>
          <w:ilvl w:val="0"/>
          <w:numId w:val="29"/>
        </w:numPr>
        <w:tabs>
          <w:tab w:val="left" w:pos="896"/>
        </w:tabs>
        <w:autoSpaceDE w:val="0"/>
        <w:autoSpaceDN w:val="0"/>
        <w:spacing w:before="161" w:line="360" w:lineRule="auto"/>
        <w:ind w:hanging="242" w:firstLineChars="0"/>
        <w:rPr>
          <w:rFonts w:ascii="宋体" w:hAnsi="宋体"/>
          <w:szCs w:val="21"/>
        </w:rPr>
      </w:pPr>
      <w:r>
        <w:rPr>
          <w:rFonts w:ascii="宋体" w:hAnsi="宋体"/>
          <w:szCs w:val="21"/>
        </w:rPr>
        <w:t>法定代表人参加</w:t>
      </w:r>
      <w:r>
        <w:rPr>
          <w:rFonts w:hint="eastAsia" w:ascii="宋体" w:hAnsi="宋体"/>
          <w:szCs w:val="21"/>
        </w:rPr>
        <w:t>磋商</w:t>
      </w:r>
      <w:r>
        <w:rPr>
          <w:rFonts w:ascii="宋体" w:hAnsi="宋体"/>
          <w:szCs w:val="21"/>
        </w:rPr>
        <w:t>的无需提供授权书，提供身份证明扫描件。</w:t>
      </w:r>
    </w:p>
    <w:p>
      <w:pPr>
        <w:spacing w:line="360" w:lineRule="auto"/>
        <w:rPr>
          <w:rFonts w:ascii="宋体" w:hAnsi="宋体"/>
        </w:rPr>
        <w:sectPr>
          <w:pgSz w:w="11910" w:h="16840"/>
          <w:pgMar w:top="1400" w:right="1240" w:bottom="1220" w:left="1240" w:header="877" w:footer="1033" w:gutter="0"/>
          <w:pgNumType w:fmt="decimal"/>
          <w:cols w:space="720" w:num="1"/>
        </w:sectPr>
      </w:pPr>
    </w:p>
    <w:p>
      <w:pPr>
        <w:pStyle w:val="8"/>
        <w:keepNext w:val="0"/>
        <w:keepLines w:val="0"/>
        <w:autoSpaceDE w:val="0"/>
        <w:autoSpaceDN w:val="0"/>
        <w:spacing w:before="104" w:after="0" w:line="360" w:lineRule="auto"/>
        <w:ind w:left="1367" w:right="1503"/>
        <w:jc w:val="center"/>
        <w:rPr>
          <w:rFonts w:ascii="宋体" w:hAnsi="宋体" w:cs="宋体"/>
          <w:kern w:val="0"/>
          <w:sz w:val="21"/>
          <w:szCs w:val="21"/>
          <w:lang w:val="zh-CN" w:bidi="zh-CN"/>
        </w:rPr>
      </w:pPr>
      <w:r>
        <w:rPr>
          <w:rFonts w:ascii="宋体" w:hAnsi="宋体" w:cs="宋体"/>
          <w:kern w:val="0"/>
          <w:sz w:val="21"/>
          <w:szCs w:val="21"/>
          <w:lang w:val="zh-CN" w:bidi="zh-CN"/>
        </w:rPr>
        <w:t>六、磋商响应表</w:t>
      </w:r>
    </w:p>
    <w:p>
      <w:pPr>
        <w:numPr>
          <w:ilvl w:val="1"/>
          <w:numId w:val="30"/>
        </w:numPr>
        <w:ind w:left="0" w:firstLine="632" w:firstLineChars="300"/>
        <w:rPr>
          <w:rFonts w:ascii="Calibri" w:hAnsi="Calibri"/>
          <w:b/>
        </w:rPr>
      </w:pPr>
      <w:r>
        <w:rPr>
          <w:rFonts w:ascii="Calibri" w:hAnsi="Calibri"/>
          <w:b/>
        </w:rPr>
        <w:t>商务响应表</w:t>
      </w:r>
    </w:p>
    <w:p>
      <w:pPr>
        <w:pStyle w:val="11"/>
        <w:spacing w:before="5" w:line="360" w:lineRule="auto"/>
        <w:rPr>
          <w:b/>
          <w:sz w:val="21"/>
          <w:szCs w:val="21"/>
        </w:rPr>
      </w:pPr>
    </w:p>
    <w:tbl>
      <w:tblPr>
        <w:tblStyle w:val="19"/>
        <w:tblW w:w="0" w:type="auto"/>
        <w:tblInd w:w="4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5"/>
        <w:gridCol w:w="1916"/>
        <w:gridCol w:w="2497"/>
        <w:gridCol w:w="2576"/>
        <w:gridCol w:w="8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25" w:type="dxa"/>
            <w:noWrap w:val="0"/>
            <w:vAlign w:val="top"/>
          </w:tcPr>
          <w:p>
            <w:pPr>
              <w:pStyle w:val="25"/>
              <w:spacing w:before="155" w:line="360" w:lineRule="auto"/>
              <w:ind w:left="101" w:right="92"/>
              <w:jc w:val="center"/>
              <w:rPr>
                <w:b/>
                <w:sz w:val="21"/>
                <w:szCs w:val="21"/>
                <w:lang w:eastAsia="en-US"/>
              </w:rPr>
            </w:pPr>
            <w:r>
              <w:rPr>
                <w:b/>
                <w:sz w:val="21"/>
                <w:szCs w:val="21"/>
                <w:lang w:eastAsia="en-US"/>
              </w:rPr>
              <w:t>序号</w:t>
            </w:r>
          </w:p>
        </w:tc>
        <w:tc>
          <w:tcPr>
            <w:tcW w:w="1916" w:type="dxa"/>
            <w:noWrap w:val="0"/>
            <w:vAlign w:val="top"/>
          </w:tcPr>
          <w:p>
            <w:pPr>
              <w:pStyle w:val="25"/>
              <w:spacing w:before="155" w:line="360" w:lineRule="auto"/>
              <w:ind w:left="96" w:right="89"/>
              <w:jc w:val="center"/>
              <w:rPr>
                <w:b/>
                <w:sz w:val="21"/>
                <w:szCs w:val="21"/>
                <w:lang w:eastAsia="en-US"/>
              </w:rPr>
            </w:pPr>
            <w:r>
              <w:rPr>
                <w:b/>
                <w:sz w:val="21"/>
                <w:szCs w:val="21"/>
                <w:lang w:eastAsia="en-US"/>
              </w:rPr>
              <w:t>商务条款</w:t>
            </w:r>
          </w:p>
        </w:tc>
        <w:tc>
          <w:tcPr>
            <w:tcW w:w="2497" w:type="dxa"/>
            <w:noWrap w:val="0"/>
            <w:vAlign w:val="top"/>
          </w:tcPr>
          <w:p>
            <w:pPr>
              <w:pStyle w:val="25"/>
              <w:spacing w:before="155" w:line="360" w:lineRule="auto"/>
              <w:ind w:left="524"/>
              <w:rPr>
                <w:b/>
                <w:sz w:val="21"/>
                <w:szCs w:val="21"/>
                <w:lang w:eastAsia="en-US"/>
              </w:rPr>
            </w:pPr>
            <w:r>
              <w:rPr>
                <w:b/>
                <w:sz w:val="21"/>
                <w:szCs w:val="21"/>
                <w:lang w:eastAsia="en-US"/>
              </w:rPr>
              <w:t>磋商文件要求</w:t>
            </w:r>
          </w:p>
        </w:tc>
        <w:tc>
          <w:tcPr>
            <w:tcW w:w="2576" w:type="dxa"/>
            <w:noWrap w:val="0"/>
            <w:vAlign w:val="top"/>
          </w:tcPr>
          <w:p>
            <w:pPr>
              <w:pStyle w:val="25"/>
              <w:spacing w:before="155" w:line="360" w:lineRule="auto"/>
              <w:ind w:left="682"/>
              <w:rPr>
                <w:b/>
                <w:sz w:val="21"/>
                <w:szCs w:val="21"/>
                <w:lang w:eastAsia="en-US"/>
              </w:rPr>
            </w:pPr>
            <w:r>
              <w:rPr>
                <w:b/>
                <w:sz w:val="21"/>
                <w:szCs w:val="21"/>
                <w:lang w:eastAsia="en-US"/>
              </w:rPr>
              <w:t>供应商承诺</w:t>
            </w:r>
          </w:p>
        </w:tc>
        <w:tc>
          <w:tcPr>
            <w:tcW w:w="811" w:type="dxa"/>
            <w:noWrap w:val="0"/>
            <w:vAlign w:val="top"/>
          </w:tcPr>
          <w:p>
            <w:pPr>
              <w:pStyle w:val="25"/>
              <w:spacing w:line="360" w:lineRule="auto"/>
              <w:ind w:left="161"/>
              <w:rPr>
                <w:b/>
                <w:sz w:val="21"/>
                <w:szCs w:val="21"/>
                <w:lang w:eastAsia="en-US"/>
              </w:rPr>
            </w:pPr>
            <w:r>
              <w:rPr>
                <w:b/>
                <w:sz w:val="21"/>
                <w:szCs w:val="21"/>
                <w:lang w:eastAsia="en-US"/>
              </w:rPr>
              <w:t>偏离</w:t>
            </w:r>
          </w:p>
          <w:p>
            <w:pPr>
              <w:pStyle w:val="25"/>
              <w:spacing w:before="4" w:line="360" w:lineRule="auto"/>
              <w:ind w:left="161"/>
              <w:rPr>
                <w:b/>
                <w:sz w:val="21"/>
                <w:szCs w:val="21"/>
                <w:lang w:eastAsia="en-US"/>
              </w:rPr>
            </w:pPr>
            <w:r>
              <w:rPr>
                <w:b/>
                <w:sz w:val="21"/>
                <w:szCs w:val="21"/>
                <w:lang w:eastAsia="en-US"/>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25" w:type="dxa"/>
            <w:noWrap w:val="0"/>
            <w:vAlign w:val="top"/>
          </w:tcPr>
          <w:p>
            <w:pPr>
              <w:pStyle w:val="25"/>
              <w:spacing w:before="71" w:line="360" w:lineRule="auto"/>
              <w:ind w:left="9"/>
              <w:jc w:val="center"/>
              <w:rPr>
                <w:sz w:val="21"/>
                <w:szCs w:val="21"/>
                <w:lang w:eastAsia="en-US"/>
              </w:rPr>
            </w:pPr>
            <w:r>
              <w:rPr>
                <w:sz w:val="21"/>
                <w:szCs w:val="21"/>
                <w:lang w:eastAsia="en-US"/>
              </w:rPr>
              <w:t>1</w:t>
            </w:r>
          </w:p>
        </w:tc>
        <w:tc>
          <w:tcPr>
            <w:tcW w:w="1916" w:type="dxa"/>
            <w:noWrap w:val="0"/>
            <w:vAlign w:val="top"/>
          </w:tcPr>
          <w:p>
            <w:pPr>
              <w:pStyle w:val="25"/>
              <w:spacing w:before="71" w:line="360" w:lineRule="auto"/>
              <w:ind w:left="97" w:right="89"/>
              <w:jc w:val="center"/>
              <w:rPr>
                <w:sz w:val="21"/>
                <w:szCs w:val="21"/>
                <w:lang w:eastAsia="en-US"/>
              </w:rPr>
            </w:pPr>
            <w:r>
              <w:rPr>
                <w:sz w:val="21"/>
                <w:szCs w:val="21"/>
                <w:lang w:eastAsia="en-US"/>
              </w:rPr>
              <w:t>付款方式</w:t>
            </w:r>
          </w:p>
        </w:tc>
        <w:tc>
          <w:tcPr>
            <w:tcW w:w="2497" w:type="dxa"/>
            <w:noWrap w:val="0"/>
            <w:vAlign w:val="top"/>
          </w:tcPr>
          <w:p>
            <w:pPr>
              <w:pStyle w:val="25"/>
              <w:spacing w:line="360" w:lineRule="auto"/>
              <w:rPr>
                <w:sz w:val="21"/>
                <w:szCs w:val="21"/>
                <w:lang w:eastAsia="en-US"/>
              </w:rPr>
            </w:pPr>
          </w:p>
        </w:tc>
        <w:tc>
          <w:tcPr>
            <w:tcW w:w="2576" w:type="dxa"/>
            <w:noWrap w:val="0"/>
            <w:vAlign w:val="top"/>
          </w:tcPr>
          <w:p>
            <w:pPr>
              <w:pStyle w:val="25"/>
              <w:spacing w:line="360" w:lineRule="auto"/>
              <w:rPr>
                <w:sz w:val="21"/>
                <w:szCs w:val="21"/>
                <w:lang w:eastAsia="en-US"/>
              </w:rPr>
            </w:pPr>
          </w:p>
        </w:tc>
        <w:tc>
          <w:tcPr>
            <w:tcW w:w="811"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25" w:type="dxa"/>
            <w:noWrap w:val="0"/>
            <w:vAlign w:val="top"/>
          </w:tcPr>
          <w:p>
            <w:pPr>
              <w:pStyle w:val="25"/>
              <w:spacing w:before="72" w:line="360" w:lineRule="auto"/>
              <w:ind w:left="9"/>
              <w:jc w:val="center"/>
              <w:rPr>
                <w:sz w:val="21"/>
                <w:szCs w:val="21"/>
                <w:lang w:eastAsia="en-US"/>
              </w:rPr>
            </w:pPr>
            <w:r>
              <w:rPr>
                <w:sz w:val="21"/>
                <w:szCs w:val="21"/>
                <w:lang w:eastAsia="en-US"/>
              </w:rPr>
              <w:t>2</w:t>
            </w:r>
          </w:p>
        </w:tc>
        <w:tc>
          <w:tcPr>
            <w:tcW w:w="1916" w:type="dxa"/>
            <w:noWrap w:val="0"/>
            <w:vAlign w:val="top"/>
          </w:tcPr>
          <w:p>
            <w:pPr>
              <w:pStyle w:val="25"/>
              <w:spacing w:before="72" w:line="360" w:lineRule="auto"/>
              <w:ind w:left="97" w:right="89"/>
              <w:jc w:val="center"/>
              <w:rPr>
                <w:sz w:val="21"/>
                <w:szCs w:val="21"/>
                <w:lang w:eastAsia="en-US"/>
              </w:rPr>
            </w:pPr>
            <w:r>
              <w:rPr>
                <w:sz w:val="21"/>
                <w:szCs w:val="21"/>
                <w:lang w:eastAsia="en-US"/>
              </w:rPr>
              <w:t>供货及安装地点</w:t>
            </w:r>
          </w:p>
        </w:tc>
        <w:tc>
          <w:tcPr>
            <w:tcW w:w="2497" w:type="dxa"/>
            <w:noWrap w:val="0"/>
            <w:vAlign w:val="top"/>
          </w:tcPr>
          <w:p>
            <w:pPr>
              <w:pStyle w:val="25"/>
              <w:spacing w:line="360" w:lineRule="auto"/>
              <w:rPr>
                <w:sz w:val="21"/>
                <w:szCs w:val="21"/>
                <w:lang w:eastAsia="en-US"/>
              </w:rPr>
            </w:pPr>
          </w:p>
        </w:tc>
        <w:tc>
          <w:tcPr>
            <w:tcW w:w="2576" w:type="dxa"/>
            <w:noWrap w:val="0"/>
            <w:vAlign w:val="top"/>
          </w:tcPr>
          <w:p>
            <w:pPr>
              <w:pStyle w:val="25"/>
              <w:spacing w:line="360" w:lineRule="auto"/>
              <w:rPr>
                <w:sz w:val="21"/>
                <w:szCs w:val="21"/>
                <w:lang w:eastAsia="en-US"/>
              </w:rPr>
            </w:pPr>
          </w:p>
        </w:tc>
        <w:tc>
          <w:tcPr>
            <w:tcW w:w="811"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25" w:type="dxa"/>
            <w:noWrap w:val="0"/>
            <w:vAlign w:val="top"/>
          </w:tcPr>
          <w:p>
            <w:pPr>
              <w:pStyle w:val="25"/>
              <w:spacing w:before="71" w:line="360" w:lineRule="auto"/>
              <w:ind w:left="9"/>
              <w:jc w:val="center"/>
              <w:rPr>
                <w:sz w:val="21"/>
                <w:szCs w:val="21"/>
                <w:lang w:eastAsia="en-US"/>
              </w:rPr>
            </w:pPr>
            <w:r>
              <w:rPr>
                <w:sz w:val="21"/>
                <w:szCs w:val="21"/>
                <w:lang w:eastAsia="en-US"/>
              </w:rPr>
              <w:t>3</w:t>
            </w:r>
          </w:p>
        </w:tc>
        <w:tc>
          <w:tcPr>
            <w:tcW w:w="1916" w:type="dxa"/>
            <w:noWrap w:val="0"/>
            <w:vAlign w:val="top"/>
          </w:tcPr>
          <w:p>
            <w:pPr>
              <w:pStyle w:val="25"/>
              <w:spacing w:before="71" w:line="360" w:lineRule="auto"/>
              <w:ind w:left="97" w:right="89"/>
              <w:jc w:val="center"/>
              <w:rPr>
                <w:sz w:val="21"/>
                <w:szCs w:val="21"/>
                <w:lang w:eastAsia="en-US"/>
              </w:rPr>
            </w:pPr>
            <w:r>
              <w:rPr>
                <w:sz w:val="21"/>
                <w:szCs w:val="21"/>
                <w:lang w:eastAsia="en-US"/>
              </w:rPr>
              <w:t>供货及安装期限</w:t>
            </w:r>
          </w:p>
        </w:tc>
        <w:tc>
          <w:tcPr>
            <w:tcW w:w="2497" w:type="dxa"/>
            <w:noWrap w:val="0"/>
            <w:vAlign w:val="top"/>
          </w:tcPr>
          <w:p>
            <w:pPr>
              <w:pStyle w:val="25"/>
              <w:spacing w:line="360" w:lineRule="auto"/>
              <w:rPr>
                <w:sz w:val="21"/>
                <w:szCs w:val="21"/>
                <w:lang w:eastAsia="en-US"/>
              </w:rPr>
            </w:pPr>
          </w:p>
        </w:tc>
        <w:tc>
          <w:tcPr>
            <w:tcW w:w="2576" w:type="dxa"/>
            <w:noWrap w:val="0"/>
            <w:vAlign w:val="top"/>
          </w:tcPr>
          <w:p>
            <w:pPr>
              <w:pStyle w:val="25"/>
              <w:spacing w:line="360" w:lineRule="auto"/>
              <w:rPr>
                <w:sz w:val="21"/>
                <w:szCs w:val="21"/>
                <w:lang w:eastAsia="en-US"/>
              </w:rPr>
            </w:pPr>
          </w:p>
        </w:tc>
        <w:tc>
          <w:tcPr>
            <w:tcW w:w="811"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25" w:type="dxa"/>
            <w:noWrap w:val="0"/>
            <w:vAlign w:val="top"/>
          </w:tcPr>
          <w:p>
            <w:pPr>
              <w:pStyle w:val="25"/>
              <w:spacing w:before="72" w:line="360" w:lineRule="auto"/>
              <w:ind w:left="9"/>
              <w:jc w:val="center"/>
              <w:rPr>
                <w:sz w:val="21"/>
                <w:szCs w:val="21"/>
                <w:lang w:eastAsia="en-US"/>
              </w:rPr>
            </w:pPr>
            <w:r>
              <w:rPr>
                <w:sz w:val="21"/>
                <w:szCs w:val="21"/>
                <w:lang w:eastAsia="en-US"/>
              </w:rPr>
              <w:t>4</w:t>
            </w:r>
          </w:p>
        </w:tc>
        <w:tc>
          <w:tcPr>
            <w:tcW w:w="1916" w:type="dxa"/>
            <w:noWrap w:val="0"/>
            <w:vAlign w:val="top"/>
          </w:tcPr>
          <w:p>
            <w:pPr>
              <w:pStyle w:val="25"/>
              <w:spacing w:before="72" w:line="360" w:lineRule="auto"/>
              <w:ind w:left="97" w:right="89"/>
              <w:jc w:val="center"/>
              <w:rPr>
                <w:sz w:val="21"/>
                <w:szCs w:val="21"/>
                <w:lang w:eastAsia="en-US"/>
              </w:rPr>
            </w:pPr>
            <w:r>
              <w:rPr>
                <w:sz w:val="21"/>
                <w:szCs w:val="21"/>
                <w:lang w:eastAsia="en-US"/>
              </w:rPr>
              <w:t>免费质保期</w:t>
            </w:r>
          </w:p>
        </w:tc>
        <w:tc>
          <w:tcPr>
            <w:tcW w:w="2497" w:type="dxa"/>
            <w:noWrap w:val="0"/>
            <w:vAlign w:val="top"/>
          </w:tcPr>
          <w:p>
            <w:pPr>
              <w:pStyle w:val="25"/>
              <w:spacing w:line="360" w:lineRule="auto"/>
              <w:rPr>
                <w:sz w:val="21"/>
                <w:szCs w:val="21"/>
                <w:lang w:eastAsia="en-US"/>
              </w:rPr>
            </w:pPr>
          </w:p>
        </w:tc>
        <w:tc>
          <w:tcPr>
            <w:tcW w:w="2576" w:type="dxa"/>
            <w:noWrap w:val="0"/>
            <w:vAlign w:val="top"/>
          </w:tcPr>
          <w:p>
            <w:pPr>
              <w:pStyle w:val="25"/>
              <w:spacing w:line="360" w:lineRule="auto"/>
              <w:rPr>
                <w:sz w:val="21"/>
                <w:szCs w:val="21"/>
                <w:lang w:eastAsia="en-US"/>
              </w:rPr>
            </w:pPr>
          </w:p>
        </w:tc>
        <w:tc>
          <w:tcPr>
            <w:tcW w:w="811"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25" w:type="dxa"/>
            <w:noWrap w:val="0"/>
            <w:vAlign w:val="top"/>
          </w:tcPr>
          <w:p>
            <w:pPr>
              <w:pStyle w:val="25"/>
              <w:spacing w:before="72" w:line="360" w:lineRule="auto"/>
              <w:ind w:left="9"/>
              <w:jc w:val="center"/>
              <w:rPr>
                <w:sz w:val="21"/>
                <w:szCs w:val="21"/>
                <w:lang w:eastAsia="en-US"/>
              </w:rPr>
            </w:pPr>
            <w:r>
              <w:rPr>
                <w:w w:val="200"/>
                <w:sz w:val="21"/>
                <w:szCs w:val="21"/>
                <w:lang w:eastAsia="en-US"/>
              </w:rPr>
              <w:t>„</w:t>
            </w:r>
          </w:p>
        </w:tc>
        <w:tc>
          <w:tcPr>
            <w:tcW w:w="1916" w:type="dxa"/>
            <w:noWrap w:val="0"/>
            <w:vAlign w:val="top"/>
          </w:tcPr>
          <w:p>
            <w:pPr>
              <w:pStyle w:val="25"/>
              <w:spacing w:line="360" w:lineRule="auto"/>
              <w:rPr>
                <w:sz w:val="21"/>
                <w:szCs w:val="21"/>
                <w:lang w:eastAsia="en-US"/>
              </w:rPr>
            </w:pPr>
          </w:p>
        </w:tc>
        <w:tc>
          <w:tcPr>
            <w:tcW w:w="2497" w:type="dxa"/>
            <w:noWrap w:val="0"/>
            <w:vAlign w:val="top"/>
          </w:tcPr>
          <w:p>
            <w:pPr>
              <w:pStyle w:val="25"/>
              <w:spacing w:line="360" w:lineRule="auto"/>
              <w:rPr>
                <w:sz w:val="21"/>
                <w:szCs w:val="21"/>
                <w:lang w:eastAsia="en-US"/>
              </w:rPr>
            </w:pPr>
          </w:p>
        </w:tc>
        <w:tc>
          <w:tcPr>
            <w:tcW w:w="2576" w:type="dxa"/>
            <w:noWrap w:val="0"/>
            <w:vAlign w:val="top"/>
          </w:tcPr>
          <w:p>
            <w:pPr>
              <w:pStyle w:val="25"/>
              <w:spacing w:line="360" w:lineRule="auto"/>
              <w:rPr>
                <w:sz w:val="21"/>
                <w:szCs w:val="21"/>
                <w:lang w:eastAsia="en-US"/>
              </w:rPr>
            </w:pPr>
          </w:p>
        </w:tc>
        <w:tc>
          <w:tcPr>
            <w:tcW w:w="811" w:type="dxa"/>
            <w:noWrap w:val="0"/>
            <w:vAlign w:val="top"/>
          </w:tcPr>
          <w:p>
            <w:pPr>
              <w:pStyle w:val="25"/>
              <w:spacing w:line="360" w:lineRule="auto"/>
              <w:rPr>
                <w:sz w:val="21"/>
                <w:szCs w:val="21"/>
                <w:lang w:eastAsia="en-US"/>
              </w:rPr>
            </w:pPr>
          </w:p>
        </w:tc>
      </w:tr>
    </w:tbl>
    <w:p>
      <w:pPr>
        <w:ind w:left="632"/>
        <w:rPr>
          <w:rFonts w:ascii="Calibri" w:hAnsi="Calibri"/>
          <w:b/>
        </w:rPr>
      </w:pPr>
    </w:p>
    <w:p>
      <w:pPr>
        <w:numPr>
          <w:ilvl w:val="1"/>
          <w:numId w:val="30"/>
        </w:numPr>
        <w:ind w:left="0" w:firstLine="632" w:firstLineChars="300"/>
        <w:rPr>
          <w:rFonts w:ascii="Calibri" w:hAnsi="Calibri"/>
          <w:b/>
        </w:rPr>
      </w:pPr>
      <w:r>
        <w:rPr>
          <w:rFonts w:ascii="Calibri" w:hAnsi="Calibri"/>
          <w:b/>
        </w:rPr>
        <w:t>技术响应表</w:t>
      </w:r>
    </w:p>
    <w:p>
      <w:pPr>
        <w:pStyle w:val="11"/>
        <w:spacing w:before="4" w:line="360" w:lineRule="auto"/>
        <w:rPr>
          <w:b/>
          <w:sz w:val="21"/>
          <w:szCs w:val="21"/>
        </w:rPr>
      </w:pPr>
    </w:p>
    <w:tbl>
      <w:tblPr>
        <w:tblStyle w:val="19"/>
        <w:tblW w:w="0" w:type="auto"/>
        <w:tblInd w:w="4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1"/>
        <w:gridCol w:w="1561"/>
        <w:gridCol w:w="2864"/>
        <w:gridCol w:w="2483"/>
        <w:gridCol w:w="8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61" w:type="dxa"/>
            <w:noWrap w:val="0"/>
            <w:vAlign w:val="top"/>
          </w:tcPr>
          <w:p>
            <w:pPr>
              <w:pStyle w:val="25"/>
              <w:spacing w:before="156" w:line="360" w:lineRule="auto"/>
              <w:ind w:left="120" w:right="109"/>
              <w:jc w:val="center"/>
              <w:rPr>
                <w:b/>
                <w:sz w:val="21"/>
                <w:szCs w:val="21"/>
                <w:lang w:eastAsia="en-US"/>
              </w:rPr>
            </w:pPr>
            <w:r>
              <w:rPr>
                <w:b/>
                <w:sz w:val="21"/>
                <w:szCs w:val="21"/>
                <w:lang w:eastAsia="en-US"/>
              </w:rPr>
              <w:t>序号</w:t>
            </w:r>
          </w:p>
        </w:tc>
        <w:tc>
          <w:tcPr>
            <w:tcW w:w="1561" w:type="dxa"/>
            <w:noWrap w:val="0"/>
            <w:vAlign w:val="top"/>
          </w:tcPr>
          <w:p>
            <w:pPr>
              <w:pStyle w:val="25"/>
              <w:spacing w:before="156" w:line="360" w:lineRule="auto"/>
              <w:ind w:left="297"/>
              <w:rPr>
                <w:b/>
                <w:sz w:val="21"/>
                <w:szCs w:val="21"/>
                <w:lang w:eastAsia="en-US"/>
              </w:rPr>
            </w:pPr>
            <w:r>
              <w:rPr>
                <w:b/>
                <w:sz w:val="21"/>
                <w:szCs w:val="21"/>
                <w:lang w:eastAsia="en-US"/>
              </w:rPr>
              <w:t>货物名称</w:t>
            </w:r>
          </w:p>
        </w:tc>
        <w:tc>
          <w:tcPr>
            <w:tcW w:w="2864" w:type="dxa"/>
            <w:noWrap w:val="0"/>
            <w:vAlign w:val="top"/>
          </w:tcPr>
          <w:p>
            <w:pPr>
              <w:pStyle w:val="25"/>
              <w:spacing w:line="360" w:lineRule="auto"/>
              <w:ind w:left="204" w:right="200"/>
              <w:jc w:val="center"/>
              <w:rPr>
                <w:b/>
                <w:sz w:val="21"/>
                <w:szCs w:val="21"/>
                <w:lang w:eastAsia="en-US"/>
              </w:rPr>
            </w:pPr>
            <w:r>
              <w:rPr>
                <w:b/>
                <w:sz w:val="21"/>
                <w:szCs w:val="21"/>
                <w:lang w:eastAsia="en-US"/>
              </w:rPr>
              <w:t>磋商文件规定的技术参</w:t>
            </w:r>
          </w:p>
          <w:p>
            <w:pPr>
              <w:pStyle w:val="25"/>
              <w:spacing w:before="4" w:line="360" w:lineRule="auto"/>
              <w:ind w:left="204" w:right="197"/>
              <w:jc w:val="center"/>
              <w:rPr>
                <w:b/>
                <w:sz w:val="21"/>
                <w:szCs w:val="21"/>
                <w:lang w:eastAsia="en-US"/>
              </w:rPr>
            </w:pPr>
            <w:r>
              <w:rPr>
                <w:b/>
                <w:sz w:val="21"/>
                <w:szCs w:val="21"/>
                <w:lang w:eastAsia="en-US"/>
              </w:rPr>
              <w:t>数要求</w:t>
            </w:r>
          </w:p>
        </w:tc>
        <w:tc>
          <w:tcPr>
            <w:tcW w:w="2483" w:type="dxa"/>
            <w:noWrap w:val="0"/>
            <w:vAlign w:val="top"/>
          </w:tcPr>
          <w:p>
            <w:pPr>
              <w:pStyle w:val="25"/>
              <w:spacing w:line="360" w:lineRule="auto"/>
              <w:ind w:left="134" w:right="129"/>
              <w:jc w:val="center"/>
              <w:rPr>
                <w:b/>
                <w:sz w:val="21"/>
                <w:szCs w:val="21"/>
                <w:lang w:eastAsia="en-US"/>
              </w:rPr>
            </w:pPr>
            <w:r>
              <w:rPr>
                <w:b/>
                <w:sz w:val="21"/>
                <w:szCs w:val="21"/>
                <w:lang w:eastAsia="en-US"/>
              </w:rPr>
              <w:t>所投产品的品牌、型</w:t>
            </w:r>
          </w:p>
          <w:p>
            <w:pPr>
              <w:pStyle w:val="25"/>
              <w:spacing w:before="4" w:line="360" w:lineRule="auto"/>
              <w:ind w:left="134" w:right="129"/>
              <w:jc w:val="center"/>
              <w:rPr>
                <w:b/>
                <w:sz w:val="21"/>
                <w:szCs w:val="21"/>
                <w:lang w:eastAsia="en-US"/>
              </w:rPr>
            </w:pPr>
            <w:r>
              <w:rPr>
                <w:b/>
                <w:sz w:val="21"/>
                <w:szCs w:val="21"/>
                <w:lang w:eastAsia="en-US"/>
              </w:rPr>
              <w:t>号及技术参数</w:t>
            </w:r>
          </w:p>
        </w:tc>
        <w:tc>
          <w:tcPr>
            <w:tcW w:w="858" w:type="dxa"/>
            <w:noWrap w:val="0"/>
            <w:vAlign w:val="top"/>
          </w:tcPr>
          <w:p>
            <w:pPr>
              <w:pStyle w:val="25"/>
              <w:spacing w:line="360" w:lineRule="auto"/>
              <w:ind w:left="185"/>
              <w:rPr>
                <w:b/>
                <w:sz w:val="21"/>
                <w:szCs w:val="21"/>
                <w:lang w:eastAsia="en-US"/>
              </w:rPr>
            </w:pPr>
            <w:r>
              <w:rPr>
                <w:b/>
                <w:sz w:val="21"/>
                <w:szCs w:val="21"/>
                <w:lang w:eastAsia="en-US"/>
              </w:rPr>
              <w:t>偏离</w:t>
            </w:r>
          </w:p>
          <w:p>
            <w:pPr>
              <w:pStyle w:val="25"/>
              <w:spacing w:before="4" w:line="360" w:lineRule="auto"/>
              <w:ind w:left="185"/>
              <w:rPr>
                <w:b/>
                <w:sz w:val="21"/>
                <w:szCs w:val="21"/>
                <w:lang w:eastAsia="en-US"/>
              </w:rPr>
            </w:pPr>
            <w:r>
              <w:rPr>
                <w:b/>
                <w:sz w:val="21"/>
                <w:szCs w:val="21"/>
                <w:lang w:eastAsia="en-US"/>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61" w:type="dxa"/>
            <w:noWrap w:val="0"/>
            <w:vAlign w:val="top"/>
          </w:tcPr>
          <w:p>
            <w:pPr>
              <w:pStyle w:val="25"/>
              <w:spacing w:before="72" w:line="360" w:lineRule="auto"/>
              <w:ind w:left="6"/>
              <w:jc w:val="center"/>
              <w:rPr>
                <w:sz w:val="21"/>
                <w:szCs w:val="21"/>
                <w:lang w:eastAsia="en-US"/>
              </w:rPr>
            </w:pPr>
            <w:r>
              <w:rPr>
                <w:sz w:val="21"/>
                <w:szCs w:val="21"/>
                <w:lang w:eastAsia="en-US"/>
              </w:rPr>
              <w:t>1</w:t>
            </w:r>
          </w:p>
        </w:tc>
        <w:tc>
          <w:tcPr>
            <w:tcW w:w="1561" w:type="dxa"/>
            <w:noWrap w:val="0"/>
            <w:vAlign w:val="top"/>
          </w:tcPr>
          <w:p>
            <w:pPr>
              <w:pStyle w:val="25"/>
              <w:spacing w:line="360" w:lineRule="auto"/>
              <w:rPr>
                <w:sz w:val="21"/>
                <w:szCs w:val="21"/>
                <w:lang w:eastAsia="en-US"/>
              </w:rPr>
            </w:pPr>
          </w:p>
        </w:tc>
        <w:tc>
          <w:tcPr>
            <w:tcW w:w="2864" w:type="dxa"/>
            <w:noWrap w:val="0"/>
            <w:vAlign w:val="top"/>
          </w:tcPr>
          <w:p>
            <w:pPr>
              <w:pStyle w:val="25"/>
              <w:spacing w:line="360" w:lineRule="auto"/>
              <w:rPr>
                <w:sz w:val="21"/>
                <w:szCs w:val="21"/>
                <w:lang w:eastAsia="en-US"/>
              </w:rPr>
            </w:pPr>
          </w:p>
        </w:tc>
        <w:tc>
          <w:tcPr>
            <w:tcW w:w="2483" w:type="dxa"/>
            <w:noWrap w:val="0"/>
            <w:vAlign w:val="top"/>
          </w:tcPr>
          <w:p>
            <w:pPr>
              <w:pStyle w:val="25"/>
              <w:spacing w:line="360" w:lineRule="auto"/>
              <w:rPr>
                <w:sz w:val="21"/>
                <w:szCs w:val="21"/>
                <w:lang w:eastAsia="en-US"/>
              </w:rPr>
            </w:pPr>
          </w:p>
        </w:tc>
        <w:tc>
          <w:tcPr>
            <w:tcW w:w="858"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61" w:type="dxa"/>
            <w:noWrap w:val="0"/>
            <w:vAlign w:val="top"/>
          </w:tcPr>
          <w:p>
            <w:pPr>
              <w:pStyle w:val="25"/>
              <w:spacing w:before="72" w:line="360" w:lineRule="auto"/>
              <w:ind w:left="6"/>
              <w:jc w:val="center"/>
              <w:rPr>
                <w:sz w:val="21"/>
                <w:szCs w:val="21"/>
                <w:lang w:eastAsia="en-US"/>
              </w:rPr>
            </w:pPr>
            <w:r>
              <w:rPr>
                <w:sz w:val="21"/>
                <w:szCs w:val="21"/>
                <w:lang w:eastAsia="en-US"/>
              </w:rPr>
              <w:t>2</w:t>
            </w:r>
          </w:p>
        </w:tc>
        <w:tc>
          <w:tcPr>
            <w:tcW w:w="1561" w:type="dxa"/>
            <w:noWrap w:val="0"/>
            <w:vAlign w:val="top"/>
          </w:tcPr>
          <w:p>
            <w:pPr>
              <w:pStyle w:val="25"/>
              <w:spacing w:line="360" w:lineRule="auto"/>
              <w:rPr>
                <w:sz w:val="21"/>
                <w:szCs w:val="21"/>
                <w:lang w:eastAsia="en-US"/>
              </w:rPr>
            </w:pPr>
          </w:p>
        </w:tc>
        <w:tc>
          <w:tcPr>
            <w:tcW w:w="2864" w:type="dxa"/>
            <w:noWrap w:val="0"/>
            <w:vAlign w:val="top"/>
          </w:tcPr>
          <w:p>
            <w:pPr>
              <w:pStyle w:val="25"/>
              <w:spacing w:line="360" w:lineRule="auto"/>
              <w:rPr>
                <w:sz w:val="21"/>
                <w:szCs w:val="21"/>
                <w:lang w:eastAsia="en-US"/>
              </w:rPr>
            </w:pPr>
          </w:p>
        </w:tc>
        <w:tc>
          <w:tcPr>
            <w:tcW w:w="2483" w:type="dxa"/>
            <w:noWrap w:val="0"/>
            <w:vAlign w:val="top"/>
          </w:tcPr>
          <w:p>
            <w:pPr>
              <w:pStyle w:val="25"/>
              <w:spacing w:line="360" w:lineRule="auto"/>
              <w:rPr>
                <w:sz w:val="21"/>
                <w:szCs w:val="21"/>
                <w:lang w:eastAsia="en-US"/>
              </w:rPr>
            </w:pPr>
          </w:p>
        </w:tc>
        <w:tc>
          <w:tcPr>
            <w:tcW w:w="858"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61" w:type="dxa"/>
            <w:noWrap w:val="0"/>
            <w:vAlign w:val="top"/>
          </w:tcPr>
          <w:p>
            <w:pPr>
              <w:pStyle w:val="25"/>
              <w:spacing w:before="72" w:line="360" w:lineRule="auto"/>
              <w:ind w:left="6"/>
              <w:jc w:val="center"/>
              <w:rPr>
                <w:sz w:val="21"/>
                <w:szCs w:val="21"/>
                <w:lang w:eastAsia="en-US"/>
              </w:rPr>
            </w:pPr>
            <w:r>
              <w:rPr>
                <w:sz w:val="21"/>
                <w:szCs w:val="21"/>
                <w:lang w:eastAsia="en-US"/>
              </w:rPr>
              <w:t>3</w:t>
            </w:r>
          </w:p>
        </w:tc>
        <w:tc>
          <w:tcPr>
            <w:tcW w:w="1561" w:type="dxa"/>
            <w:noWrap w:val="0"/>
            <w:vAlign w:val="top"/>
          </w:tcPr>
          <w:p>
            <w:pPr>
              <w:pStyle w:val="25"/>
              <w:spacing w:line="360" w:lineRule="auto"/>
              <w:rPr>
                <w:sz w:val="21"/>
                <w:szCs w:val="21"/>
                <w:lang w:eastAsia="en-US"/>
              </w:rPr>
            </w:pPr>
          </w:p>
        </w:tc>
        <w:tc>
          <w:tcPr>
            <w:tcW w:w="2864" w:type="dxa"/>
            <w:noWrap w:val="0"/>
            <w:vAlign w:val="top"/>
          </w:tcPr>
          <w:p>
            <w:pPr>
              <w:pStyle w:val="25"/>
              <w:spacing w:line="360" w:lineRule="auto"/>
              <w:rPr>
                <w:sz w:val="21"/>
                <w:szCs w:val="21"/>
                <w:lang w:eastAsia="en-US"/>
              </w:rPr>
            </w:pPr>
          </w:p>
        </w:tc>
        <w:tc>
          <w:tcPr>
            <w:tcW w:w="2483" w:type="dxa"/>
            <w:noWrap w:val="0"/>
            <w:vAlign w:val="top"/>
          </w:tcPr>
          <w:p>
            <w:pPr>
              <w:pStyle w:val="25"/>
              <w:spacing w:line="360" w:lineRule="auto"/>
              <w:rPr>
                <w:sz w:val="21"/>
                <w:szCs w:val="21"/>
                <w:lang w:eastAsia="en-US"/>
              </w:rPr>
            </w:pPr>
          </w:p>
        </w:tc>
        <w:tc>
          <w:tcPr>
            <w:tcW w:w="858"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61" w:type="dxa"/>
            <w:noWrap w:val="0"/>
            <w:vAlign w:val="top"/>
          </w:tcPr>
          <w:p>
            <w:pPr>
              <w:pStyle w:val="25"/>
              <w:spacing w:before="72" w:line="360" w:lineRule="auto"/>
              <w:ind w:left="6"/>
              <w:jc w:val="center"/>
              <w:rPr>
                <w:sz w:val="21"/>
                <w:szCs w:val="21"/>
                <w:lang w:eastAsia="en-US"/>
              </w:rPr>
            </w:pPr>
            <w:r>
              <w:rPr>
                <w:sz w:val="21"/>
                <w:szCs w:val="21"/>
                <w:lang w:eastAsia="en-US"/>
              </w:rPr>
              <w:t>4</w:t>
            </w:r>
          </w:p>
        </w:tc>
        <w:tc>
          <w:tcPr>
            <w:tcW w:w="1561" w:type="dxa"/>
            <w:noWrap w:val="0"/>
            <w:vAlign w:val="top"/>
          </w:tcPr>
          <w:p>
            <w:pPr>
              <w:pStyle w:val="25"/>
              <w:spacing w:line="360" w:lineRule="auto"/>
              <w:rPr>
                <w:sz w:val="21"/>
                <w:szCs w:val="21"/>
                <w:lang w:eastAsia="en-US"/>
              </w:rPr>
            </w:pPr>
          </w:p>
        </w:tc>
        <w:tc>
          <w:tcPr>
            <w:tcW w:w="2864" w:type="dxa"/>
            <w:noWrap w:val="0"/>
            <w:vAlign w:val="top"/>
          </w:tcPr>
          <w:p>
            <w:pPr>
              <w:pStyle w:val="25"/>
              <w:spacing w:line="360" w:lineRule="auto"/>
              <w:rPr>
                <w:sz w:val="21"/>
                <w:szCs w:val="21"/>
                <w:lang w:eastAsia="en-US"/>
              </w:rPr>
            </w:pPr>
          </w:p>
        </w:tc>
        <w:tc>
          <w:tcPr>
            <w:tcW w:w="2483" w:type="dxa"/>
            <w:noWrap w:val="0"/>
            <w:vAlign w:val="top"/>
          </w:tcPr>
          <w:p>
            <w:pPr>
              <w:pStyle w:val="25"/>
              <w:spacing w:line="360" w:lineRule="auto"/>
              <w:rPr>
                <w:sz w:val="21"/>
                <w:szCs w:val="21"/>
                <w:lang w:eastAsia="en-US"/>
              </w:rPr>
            </w:pPr>
          </w:p>
        </w:tc>
        <w:tc>
          <w:tcPr>
            <w:tcW w:w="858"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61" w:type="dxa"/>
            <w:noWrap w:val="0"/>
            <w:vAlign w:val="top"/>
          </w:tcPr>
          <w:p>
            <w:pPr>
              <w:pStyle w:val="25"/>
              <w:spacing w:before="71" w:line="360" w:lineRule="auto"/>
              <w:ind w:left="7"/>
              <w:jc w:val="center"/>
              <w:rPr>
                <w:sz w:val="21"/>
                <w:szCs w:val="21"/>
                <w:lang w:eastAsia="en-US"/>
              </w:rPr>
            </w:pPr>
            <w:r>
              <w:rPr>
                <w:w w:val="200"/>
                <w:sz w:val="21"/>
                <w:szCs w:val="21"/>
                <w:lang w:eastAsia="en-US"/>
              </w:rPr>
              <w:t>„</w:t>
            </w:r>
          </w:p>
        </w:tc>
        <w:tc>
          <w:tcPr>
            <w:tcW w:w="1561" w:type="dxa"/>
            <w:noWrap w:val="0"/>
            <w:vAlign w:val="top"/>
          </w:tcPr>
          <w:p>
            <w:pPr>
              <w:pStyle w:val="25"/>
              <w:spacing w:line="360" w:lineRule="auto"/>
              <w:rPr>
                <w:sz w:val="21"/>
                <w:szCs w:val="21"/>
                <w:lang w:eastAsia="en-US"/>
              </w:rPr>
            </w:pPr>
          </w:p>
        </w:tc>
        <w:tc>
          <w:tcPr>
            <w:tcW w:w="2864" w:type="dxa"/>
            <w:noWrap w:val="0"/>
            <w:vAlign w:val="top"/>
          </w:tcPr>
          <w:p>
            <w:pPr>
              <w:pStyle w:val="25"/>
              <w:spacing w:line="360" w:lineRule="auto"/>
              <w:rPr>
                <w:sz w:val="21"/>
                <w:szCs w:val="21"/>
                <w:lang w:eastAsia="en-US"/>
              </w:rPr>
            </w:pPr>
          </w:p>
        </w:tc>
        <w:tc>
          <w:tcPr>
            <w:tcW w:w="2483" w:type="dxa"/>
            <w:noWrap w:val="0"/>
            <w:vAlign w:val="top"/>
          </w:tcPr>
          <w:p>
            <w:pPr>
              <w:pStyle w:val="25"/>
              <w:spacing w:line="360" w:lineRule="auto"/>
              <w:rPr>
                <w:sz w:val="21"/>
                <w:szCs w:val="21"/>
                <w:lang w:eastAsia="en-US"/>
              </w:rPr>
            </w:pPr>
          </w:p>
        </w:tc>
        <w:tc>
          <w:tcPr>
            <w:tcW w:w="858" w:type="dxa"/>
            <w:noWrap w:val="0"/>
            <w:vAlign w:val="top"/>
          </w:tcPr>
          <w:p>
            <w:pPr>
              <w:pStyle w:val="25"/>
              <w:spacing w:line="360" w:lineRule="auto"/>
              <w:rPr>
                <w:sz w:val="21"/>
                <w:szCs w:val="21"/>
                <w:lang w:eastAsia="en-US"/>
              </w:rPr>
            </w:pPr>
          </w:p>
        </w:tc>
      </w:tr>
    </w:tbl>
    <w:p>
      <w:pPr>
        <w:ind w:left="632"/>
        <w:rPr>
          <w:rFonts w:ascii="Calibri" w:hAnsi="Calibri"/>
          <w:b/>
        </w:rPr>
      </w:pPr>
    </w:p>
    <w:p>
      <w:pPr>
        <w:numPr>
          <w:ilvl w:val="1"/>
          <w:numId w:val="30"/>
        </w:numPr>
        <w:ind w:left="0" w:firstLine="632" w:firstLineChars="300"/>
        <w:rPr>
          <w:rFonts w:ascii="Calibri" w:hAnsi="Calibri"/>
          <w:b/>
        </w:rPr>
      </w:pPr>
      <w:r>
        <w:rPr>
          <w:rFonts w:ascii="Calibri" w:hAnsi="Calibri"/>
          <w:b/>
        </w:rPr>
        <w:t>货物说明一览表</w:t>
      </w:r>
    </w:p>
    <w:p>
      <w:pPr>
        <w:pStyle w:val="11"/>
        <w:spacing w:before="4" w:line="360" w:lineRule="auto"/>
        <w:rPr>
          <w:b/>
          <w:sz w:val="21"/>
          <w:szCs w:val="21"/>
        </w:rPr>
      </w:pPr>
    </w:p>
    <w:tbl>
      <w:tblPr>
        <w:tblStyle w:val="19"/>
        <w:tblW w:w="0" w:type="auto"/>
        <w:tblInd w:w="4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1"/>
        <w:gridCol w:w="1419"/>
        <w:gridCol w:w="1421"/>
        <w:gridCol w:w="1421"/>
        <w:gridCol w:w="1421"/>
        <w:gridCol w:w="14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trPr>
        <w:tc>
          <w:tcPr>
            <w:tcW w:w="1421" w:type="dxa"/>
            <w:noWrap w:val="0"/>
            <w:vAlign w:val="top"/>
          </w:tcPr>
          <w:p>
            <w:pPr>
              <w:pStyle w:val="25"/>
              <w:spacing w:before="105" w:line="360" w:lineRule="auto"/>
              <w:ind w:left="227"/>
              <w:rPr>
                <w:b/>
                <w:sz w:val="21"/>
                <w:szCs w:val="21"/>
                <w:lang w:eastAsia="en-US"/>
              </w:rPr>
            </w:pPr>
            <w:r>
              <w:rPr>
                <w:b/>
                <w:sz w:val="21"/>
                <w:szCs w:val="21"/>
                <w:lang w:eastAsia="en-US"/>
              </w:rPr>
              <w:t>货物名称</w:t>
            </w:r>
          </w:p>
        </w:tc>
        <w:tc>
          <w:tcPr>
            <w:tcW w:w="1419" w:type="dxa"/>
            <w:noWrap w:val="0"/>
            <w:vAlign w:val="top"/>
          </w:tcPr>
          <w:p>
            <w:pPr>
              <w:pStyle w:val="25"/>
              <w:spacing w:line="360" w:lineRule="auto"/>
              <w:rPr>
                <w:sz w:val="21"/>
                <w:szCs w:val="21"/>
                <w:lang w:eastAsia="en-US"/>
              </w:rPr>
            </w:pPr>
          </w:p>
        </w:tc>
        <w:tc>
          <w:tcPr>
            <w:tcW w:w="1421" w:type="dxa"/>
            <w:noWrap w:val="0"/>
            <w:vAlign w:val="top"/>
          </w:tcPr>
          <w:p>
            <w:pPr>
              <w:pStyle w:val="25"/>
              <w:spacing w:before="105" w:line="360" w:lineRule="auto"/>
              <w:ind w:left="227"/>
              <w:rPr>
                <w:b/>
                <w:sz w:val="21"/>
                <w:szCs w:val="21"/>
                <w:lang w:eastAsia="en-US"/>
              </w:rPr>
            </w:pPr>
            <w:r>
              <w:rPr>
                <w:b/>
                <w:sz w:val="21"/>
                <w:szCs w:val="21"/>
                <w:lang w:eastAsia="en-US"/>
              </w:rPr>
              <w:t>品牌型号</w:t>
            </w:r>
          </w:p>
        </w:tc>
        <w:tc>
          <w:tcPr>
            <w:tcW w:w="1421" w:type="dxa"/>
            <w:noWrap w:val="0"/>
            <w:vAlign w:val="top"/>
          </w:tcPr>
          <w:p>
            <w:pPr>
              <w:pStyle w:val="25"/>
              <w:spacing w:line="360" w:lineRule="auto"/>
              <w:rPr>
                <w:sz w:val="21"/>
                <w:szCs w:val="21"/>
                <w:lang w:eastAsia="en-US"/>
              </w:rPr>
            </w:pPr>
          </w:p>
        </w:tc>
        <w:tc>
          <w:tcPr>
            <w:tcW w:w="1421" w:type="dxa"/>
            <w:noWrap w:val="0"/>
            <w:vAlign w:val="top"/>
          </w:tcPr>
          <w:p>
            <w:pPr>
              <w:pStyle w:val="25"/>
              <w:spacing w:before="105" w:line="360" w:lineRule="auto"/>
              <w:ind w:left="467"/>
              <w:rPr>
                <w:b/>
                <w:sz w:val="21"/>
                <w:szCs w:val="21"/>
                <w:lang w:eastAsia="en-US"/>
              </w:rPr>
            </w:pPr>
            <w:r>
              <w:rPr>
                <w:b/>
                <w:sz w:val="21"/>
                <w:szCs w:val="21"/>
                <w:lang w:eastAsia="en-US"/>
              </w:rPr>
              <w:t>数量</w:t>
            </w:r>
          </w:p>
        </w:tc>
        <w:tc>
          <w:tcPr>
            <w:tcW w:w="1422" w:type="dxa"/>
            <w:noWrap w:val="0"/>
            <w:vAlign w:val="top"/>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1" w:hRule="atLeast"/>
        </w:trPr>
        <w:tc>
          <w:tcPr>
            <w:tcW w:w="8525" w:type="dxa"/>
            <w:gridSpan w:val="6"/>
            <w:noWrap w:val="0"/>
            <w:vAlign w:val="top"/>
          </w:tcPr>
          <w:p>
            <w:pPr>
              <w:pStyle w:val="25"/>
              <w:spacing w:line="360" w:lineRule="auto"/>
              <w:ind w:left="107"/>
              <w:rPr>
                <w:sz w:val="21"/>
                <w:szCs w:val="21"/>
              </w:rPr>
            </w:pPr>
            <w:r>
              <w:rPr>
                <w:sz w:val="21"/>
                <w:szCs w:val="21"/>
              </w:rPr>
              <w:t>所投产品的技术参数及性能说明：</w:t>
            </w:r>
          </w:p>
        </w:tc>
      </w:tr>
    </w:tbl>
    <w:p>
      <w:pPr>
        <w:pStyle w:val="11"/>
        <w:spacing w:before="80" w:line="360" w:lineRule="auto"/>
        <w:ind w:left="560"/>
        <w:rPr>
          <w:sz w:val="21"/>
          <w:szCs w:val="21"/>
        </w:rPr>
      </w:pPr>
      <w:r>
        <w:rPr>
          <w:sz w:val="21"/>
          <w:szCs w:val="21"/>
        </w:rPr>
        <w:t>供应商</w:t>
      </w:r>
      <w:r>
        <w:rPr>
          <w:rFonts w:hint="eastAsia"/>
          <w:sz w:val="21"/>
          <w:szCs w:val="21"/>
          <w:lang w:eastAsia="zh-CN"/>
        </w:rPr>
        <w:t>签章</w:t>
      </w:r>
      <w:r>
        <w:rPr>
          <w:sz w:val="21"/>
          <w:szCs w:val="21"/>
        </w:rPr>
        <w:t>：</w:t>
      </w:r>
    </w:p>
    <w:p>
      <w:pPr>
        <w:spacing w:line="360" w:lineRule="auto"/>
        <w:rPr>
          <w:rFonts w:ascii="宋体" w:hAnsi="宋体"/>
        </w:rPr>
        <w:sectPr>
          <w:pgSz w:w="11910" w:h="16840"/>
          <w:pgMar w:top="1400" w:right="1240" w:bottom="1220" w:left="1240" w:header="877" w:footer="1033" w:gutter="0"/>
          <w:pgNumType w:fmt="decimal"/>
          <w:cols w:space="720" w:num="1"/>
        </w:sectPr>
      </w:pPr>
    </w:p>
    <w:p>
      <w:pPr>
        <w:pStyle w:val="8"/>
        <w:keepNext w:val="0"/>
        <w:keepLines w:val="0"/>
        <w:autoSpaceDE w:val="0"/>
        <w:autoSpaceDN w:val="0"/>
        <w:spacing w:before="104" w:after="0" w:line="360" w:lineRule="auto"/>
        <w:ind w:left="1367" w:right="1503"/>
        <w:jc w:val="center"/>
        <w:rPr>
          <w:rFonts w:ascii="宋体" w:hAnsi="宋体" w:cs="宋体"/>
          <w:kern w:val="0"/>
          <w:sz w:val="21"/>
          <w:szCs w:val="21"/>
          <w:lang w:val="zh-CN" w:bidi="zh-CN"/>
        </w:rPr>
      </w:pPr>
      <w:r>
        <w:rPr>
          <w:rFonts w:ascii="宋体" w:hAnsi="宋体" w:cs="宋体"/>
          <w:kern w:val="0"/>
          <w:sz w:val="21"/>
          <w:szCs w:val="21"/>
          <w:lang w:val="zh-CN" w:bidi="zh-CN"/>
        </w:rPr>
        <w:t>七、供货安装（调试）方案</w:t>
      </w:r>
    </w:p>
    <w:p>
      <w:pPr>
        <w:autoSpaceDE w:val="0"/>
        <w:autoSpaceDN w:val="0"/>
        <w:jc w:val="left"/>
        <w:rPr>
          <w:rFonts w:ascii="宋体" w:hAnsi="宋体" w:cs="宋体"/>
          <w:b/>
          <w:kern w:val="0"/>
          <w:sz w:val="22"/>
          <w:szCs w:val="22"/>
          <w:lang w:val="zh-CN" w:bidi="zh-CN"/>
        </w:rPr>
      </w:pPr>
      <w:r>
        <w:rPr>
          <w:rFonts w:ascii="宋体" w:hAnsi="宋体" w:cs="宋体"/>
          <w:b/>
          <w:kern w:val="0"/>
          <w:sz w:val="22"/>
          <w:szCs w:val="22"/>
          <w:lang w:val="zh-CN" w:bidi="zh-CN"/>
        </w:rPr>
        <w:t>(供应商可自行制作格式)</w:t>
      </w:r>
    </w:p>
    <w:p>
      <w:pPr>
        <w:spacing w:line="360" w:lineRule="auto"/>
        <w:rPr>
          <w:rFonts w:ascii="宋体" w:hAnsi="宋体"/>
        </w:rPr>
        <w:sectPr>
          <w:pgSz w:w="11910" w:h="16840"/>
          <w:pgMar w:top="1400" w:right="1240" w:bottom="1220" w:left="1240" w:header="877" w:footer="1033" w:gutter="0"/>
          <w:pgNumType w:fmt="decimal"/>
          <w:cols w:space="720" w:num="1"/>
        </w:sectPr>
      </w:pPr>
    </w:p>
    <w:p>
      <w:pPr>
        <w:pStyle w:val="8"/>
        <w:keepNext w:val="0"/>
        <w:keepLines w:val="0"/>
        <w:autoSpaceDE w:val="0"/>
        <w:autoSpaceDN w:val="0"/>
        <w:spacing w:before="104" w:after="0" w:line="360" w:lineRule="auto"/>
        <w:ind w:left="1367" w:right="1503"/>
        <w:jc w:val="center"/>
        <w:rPr>
          <w:rFonts w:ascii="宋体" w:hAnsi="宋体" w:cs="宋体"/>
          <w:kern w:val="0"/>
          <w:sz w:val="21"/>
          <w:szCs w:val="21"/>
          <w:lang w:val="zh-CN" w:bidi="zh-CN"/>
        </w:rPr>
      </w:pPr>
      <w:r>
        <w:rPr>
          <w:rFonts w:ascii="宋体" w:hAnsi="宋体" w:cs="宋体"/>
          <w:kern w:val="0"/>
          <w:sz w:val="21"/>
          <w:szCs w:val="21"/>
          <w:lang w:val="zh-CN" w:bidi="zh-CN"/>
        </w:rPr>
        <w:t>八、售后服务与维保方案</w:t>
      </w:r>
    </w:p>
    <w:p>
      <w:pPr>
        <w:autoSpaceDE w:val="0"/>
        <w:autoSpaceDN w:val="0"/>
        <w:jc w:val="left"/>
        <w:rPr>
          <w:rFonts w:ascii="宋体" w:hAnsi="宋体" w:cs="宋体"/>
          <w:b/>
          <w:kern w:val="0"/>
          <w:sz w:val="22"/>
          <w:szCs w:val="22"/>
          <w:lang w:val="zh-CN" w:bidi="zh-CN"/>
        </w:rPr>
        <w:sectPr>
          <w:pgSz w:w="11910" w:h="16840"/>
          <w:pgMar w:top="1400" w:right="1240" w:bottom="1220" w:left="1240" w:header="877" w:footer="1033" w:gutter="0"/>
          <w:pgNumType w:fmt="decimal"/>
          <w:cols w:space="720" w:num="1"/>
        </w:sectPr>
      </w:pPr>
      <w:r>
        <w:rPr>
          <w:rFonts w:ascii="宋体" w:hAnsi="宋体" w:cs="宋体"/>
          <w:b/>
          <w:kern w:val="0"/>
          <w:sz w:val="22"/>
          <w:szCs w:val="22"/>
          <w:lang w:val="zh-CN" w:bidi="zh-CN"/>
        </w:rPr>
        <w:t>(供应商可自行制作格式)</w:t>
      </w:r>
    </w:p>
    <w:p>
      <w:pPr>
        <w:pStyle w:val="8"/>
        <w:keepNext w:val="0"/>
        <w:keepLines w:val="0"/>
        <w:autoSpaceDE w:val="0"/>
        <w:autoSpaceDN w:val="0"/>
        <w:spacing w:before="104" w:after="0" w:line="360" w:lineRule="auto"/>
        <w:ind w:left="1367" w:right="1503"/>
        <w:jc w:val="center"/>
        <w:rPr>
          <w:rFonts w:ascii="宋体" w:hAnsi="宋体" w:cs="宋体"/>
          <w:kern w:val="0"/>
          <w:sz w:val="21"/>
          <w:szCs w:val="21"/>
          <w:lang w:val="zh-CN" w:bidi="zh-CN"/>
        </w:rPr>
      </w:pPr>
      <w:r>
        <w:rPr>
          <w:rFonts w:hint="eastAsia" w:ascii="宋体" w:hAnsi="宋体" w:cs="宋体"/>
          <w:kern w:val="0"/>
          <w:sz w:val="21"/>
          <w:szCs w:val="21"/>
          <w:lang w:val="en-US" w:bidi="zh-CN"/>
        </w:rPr>
        <w:t>九</w:t>
      </w:r>
      <w:r>
        <w:rPr>
          <w:rFonts w:ascii="宋体" w:hAnsi="宋体" w:cs="宋体"/>
          <w:kern w:val="0"/>
          <w:sz w:val="21"/>
          <w:szCs w:val="21"/>
          <w:lang w:val="zh-CN" w:bidi="zh-CN"/>
        </w:rPr>
        <w:t>、主要成交标的承诺函</w:t>
      </w:r>
    </w:p>
    <w:p>
      <w:pPr>
        <w:pStyle w:val="11"/>
        <w:spacing w:line="360" w:lineRule="auto"/>
        <w:rPr>
          <w:b/>
          <w:sz w:val="21"/>
          <w:szCs w:val="21"/>
        </w:rPr>
      </w:pPr>
    </w:p>
    <w:p>
      <w:pPr>
        <w:pStyle w:val="11"/>
        <w:spacing w:line="360" w:lineRule="auto"/>
        <w:rPr>
          <w:b/>
          <w:sz w:val="21"/>
          <w:szCs w:val="21"/>
        </w:rPr>
      </w:pPr>
    </w:p>
    <w:p>
      <w:pPr>
        <w:pStyle w:val="11"/>
        <w:spacing w:before="1" w:line="360" w:lineRule="auto"/>
        <w:ind w:left="560" w:right="558" w:firstLine="434"/>
        <w:jc w:val="both"/>
        <w:rPr>
          <w:sz w:val="21"/>
          <w:szCs w:val="21"/>
        </w:rPr>
      </w:pPr>
      <w:r>
        <w:rPr>
          <w:sz w:val="21"/>
          <w:szCs w:val="21"/>
        </w:rPr>
        <w:t>我单位同意成交结果公告中公示以下主要成交标的并承诺：响应文件中所提供的主要成交标的均真实有效。若被发现存在任何虚假、隐瞒情况，我单位承担由此产生的一切后果。</w:t>
      </w:r>
    </w:p>
    <w:p>
      <w:pPr>
        <w:pStyle w:val="11"/>
        <w:spacing w:line="360" w:lineRule="auto"/>
        <w:rPr>
          <w:sz w:val="21"/>
          <w:szCs w:val="21"/>
        </w:rPr>
      </w:pPr>
    </w:p>
    <w:tbl>
      <w:tblPr>
        <w:tblStyle w:val="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1303"/>
        <w:gridCol w:w="2633"/>
        <w:gridCol w:w="1560"/>
        <w:gridCol w:w="1491"/>
        <w:gridCol w:w="8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708" w:type="dxa"/>
            <w:noWrap w:val="0"/>
            <w:vAlign w:val="top"/>
          </w:tcPr>
          <w:p>
            <w:pPr>
              <w:pStyle w:val="25"/>
              <w:spacing w:before="107"/>
              <w:ind w:left="92" w:right="85"/>
              <w:jc w:val="center"/>
              <w:rPr>
                <w:sz w:val="24"/>
                <w:lang w:eastAsia="en-US"/>
              </w:rPr>
            </w:pPr>
            <w:r>
              <w:rPr>
                <w:sz w:val="24"/>
                <w:lang w:eastAsia="en-US"/>
              </w:rPr>
              <w:t>序号</w:t>
            </w:r>
          </w:p>
        </w:tc>
        <w:tc>
          <w:tcPr>
            <w:tcW w:w="1303" w:type="dxa"/>
            <w:noWrap w:val="0"/>
            <w:vAlign w:val="top"/>
          </w:tcPr>
          <w:p>
            <w:pPr>
              <w:pStyle w:val="25"/>
              <w:spacing w:before="107"/>
              <w:ind w:left="170"/>
              <w:rPr>
                <w:sz w:val="24"/>
                <w:lang w:eastAsia="en-US"/>
              </w:rPr>
            </w:pPr>
            <w:r>
              <w:rPr>
                <w:sz w:val="24"/>
                <w:lang w:eastAsia="en-US"/>
              </w:rPr>
              <w:t>货物名称</w:t>
            </w:r>
          </w:p>
        </w:tc>
        <w:tc>
          <w:tcPr>
            <w:tcW w:w="2633" w:type="dxa"/>
            <w:tcBorders>
              <w:right w:val="single" w:color="000000" w:sz="6" w:space="0"/>
            </w:tcBorders>
            <w:noWrap w:val="0"/>
            <w:vAlign w:val="top"/>
          </w:tcPr>
          <w:p>
            <w:pPr>
              <w:pStyle w:val="25"/>
              <w:spacing w:before="107"/>
              <w:ind w:left="475"/>
              <w:rPr>
                <w:sz w:val="24"/>
                <w:lang w:eastAsia="en-US"/>
              </w:rPr>
            </w:pPr>
            <w:r>
              <w:rPr>
                <w:sz w:val="24"/>
                <w:lang w:eastAsia="en-US"/>
              </w:rPr>
              <w:t>品牌及规格型号</w:t>
            </w:r>
          </w:p>
        </w:tc>
        <w:tc>
          <w:tcPr>
            <w:tcW w:w="1560" w:type="dxa"/>
            <w:tcBorders>
              <w:left w:val="single" w:color="000000" w:sz="6" w:space="0"/>
            </w:tcBorders>
            <w:noWrap w:val="0"/>
            <w:vAlign w:val="top"/>
          </w:tcPr>
          <w:p>
            <w:pPr>
              <w:pStyle w:val="25"/>
              <w:spacing w:before="107"/>
              <w:ind w:left="517" w:right="509"/>
              <w:jc w:val="center"/>
              <w:rPr>
                <w:sz w:val="24"/>
                <w:lang w:eastAsia="en-US"/>
              </w:rPr>
            </w:pPr>
            <w:r>
              <w:rPr>
                <w:sz w:val="24"/>
                <w:lang w:eastAsia="en-US"/>
              </w:rPr>
              <w:t>数量</w:t>
            </w:r>
          </w:p>
        </w:tc>
        <w:tc>
          <w:tcPr>
            <w:tcW w:w="1491" w:type="dxa"/>
            <w:noWrap w:val="0"/>
            <w:vAlign w:val="top"/>
          </w:tcPr>
          <w:p>
            <w:pPr>
              <w:pStyle w:val="25"/>
              <w:spacing w:before="107"/>
              <w:ind w:left="484" w:right="476"/>
              <w:jc w:val="center"/>
              <w:rPr>
                <w:sz w:val="24"/>
                <w:lang w:eastAsia="en-US"/>
              </w:rPr>
            </w:pPr>
            <w:r>
              <w:rPr>
                <w:sz w:val="24"/>
                <w:lang w:eastAsia="en-US"/>
              </w:rPr>
              <w:t>单价</w:t>
            </w:r>
          </w:p>
        </w:tc>
        <w:tc>
          <w:tcPr>
            <w:tcW w:w="828" w:type="dxa"/>
            <w:noWrap w:val="0"/>
            <w:vAlign w:val="top"/>
          </w:tcPr>
          <w:p>
            <w:pPr>
              <w:pStyle w:val="25"/>
              <w:spacing w:before="107"/>
              <w:ind w:left="173"/>
              <w:rPr>
                <w:sz w:val="24"/>
                <w:lang w:eastAsia="en-US"/>
              </w:rPr>
            </w:pPr>
            <w:r>
              <w:rPr>
                <w:sz w:val="24"/>
                <w:lang w:eastAsia="en-US"/>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08" w:type="dxa"/>
            <w:noWrap w:val="0"/>
            <w:vAlign w:val="top"/>
          </w:tcPr>
          <w:p>
            <w:pPr>
              <w:pStyle w:val="25"/>
              <w:spacing w:before="79"/>
              <w:ind w:left="7"/>
              <w:jc w:val="center"/>
              <w:rPr>
                <w:sz w:val="24"/>
                <w:lang w:eastAsia="en-US"/>
              </w:rPr>
            </w:pPr>
            <w:r>
              <w:rPr>
                <w:sz w:val="24"/>
                <w:lang w:eastAsia="en-US"/>
              </w:rPr>
              <w:t>1</w:t>
            </w:r>
          </w:p>
        </w:tc>
        <w:tc>
          <w:tcPr>
            <w:tcW w:w="1303" w:type="dxa"/>
            <w:noWrap w:val="0"/>
            <w:vAlign w:val="top"/>
          </w:tcPr>
          <w:p>
            <w:pPr>
              <w:pStyle w:val="25"/>
              <w:rPr>
                <w:rFonts w:ascii="Times New Roman"/>
                <w:lang w:eastAsia="en-US"/>
              </w:rPr>
            </w:pPr>
          </w:p>
        </w:tc>
        <w:tc>
          <w:tcPr>
            <w:tcW w:w="2633" w:type="dxa"/>
            <w:tcBorders>
              <w:right w:val="single" w:color="000000" w:sz="6" w:space="0"/>
            </w:tcBorders>
            <w:noWrap w:val="0"/>
            <w:vAlign w:val="top"/>
          </w:tcPr>
          <w:p>
            <w:pPr>
              <w:pStyle w:val="25"/>
              <w:rPr>
                <w:rFonts w:ascii="Times New Roman"/>
                <w:lang w:eastAsia="en-US"/>
              </w:rPr>
            </w:pPr>
          </w:p>
        </w:tc>
        <w:tc>
          <w:tcPr>
            <w:tcW w:w="1560" w:type="dxa"/>
            <w:tcBorders>
              <w:left w:val="single" w:color="000000" w:sz="6" w:space="0"/>
            </w:tcBorders>
            <w:noWrap w:val="0"/>
            <w:vAlign w:val="top"/>
          </w:tcPr>
          <w:p>
            <w:pPr>
              <w:pStyle w:val="25"/>
              <w:rPr>
                <w:rFonts w:ascii="Times New Roman"/>
                <w:lang w:eastAsia="en-US"/>
              </w:rPr>
            </w:pPr>
          </w:p>
        </w:tc>
        <w:tc>
          <w:tcPr>
            <w:tcW w:w="1491" w:type="dxa"/>
            <w:noWrap w:val="0"/>
            <w:vAlign w:val="top"/>
          </w:tcPr>
          <w:p>
            <w:pPr>
              <w:pStyle w:val="25"/>
              <w:rPr>
                <w:rFonts w:ascii="Times New Roman"/>
                <w:lang w:eastAsia="en-US"/>
              </w:rPr>
            </w:pPr>
          </w:p>
        </w:tc>
        <w:tc>
          <w:tcPr>
            <w:tcW w:w="828" w:type="dxa"/>
            <w:noWrap w:val="0"/>
            <w:vAlign w:val="top"/>
          </w:tcPr>
          <w:p>
            <w:pPr>
              <w:pStyle w:val="25"/>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708" w:type="dxa"/>
            <w:noWrap w:val="0"/>
            <w:vAlign w:val="top"/>
          </w:tcPr>
          <w:p>
            <w:pPr>
              <w:pStyle w:val="25"/>
              <w:spacing w:before="79"/>
              <w:ind w:left="7"/>
              <w:jc w:val="center"/>
              <w:rPr>
                <w:sz w:val="24"/>
                <w:lang w:eastAsia="en-US"/>
              </w:rPr>
            </w:pPr>
            <w:r>
              <w:rPr>
                <w:sz w:val="24"/>
                <w:lang w:eastAsia="en-US"/>
              </w:rPr>
              <w:t>2</w:t>
            </w:r>
          </w:p>
        </w:tc>
        <w:tc>
          <w:tcPr>
            <w:tcW w:w="1303" w:type="dxa"/>
            <w:noWrap w:val="0"/>
            <w:vAlign w:val="top"/>
          </w:tcPr>
          <w:p>
            <w:pPr>
              <w:pStyle w:val="25"/>
              <w:rPr>
                <w:rFonts w:ascii="Times New Roman"/>
                <w:lang w:eastAsia="en-US"/>
              </w:rPr>
            </w:pPr>
          </w:p>
        </w:tc>
        <w:tc>
          <w:tcPr>
            <w:tcW w:w="2633" w:type="dxa"/>
            <w:tcBorders>
              <w:right w:val="single" w:color="000000" w:sz="6" w:space="0"/>
            </w:tcBorders>
            <w:noWrap w:val="0"/>
            <w:vAlign w:val="top"/>
          </w:tcPr>
          <w:p>
            <w:pPr>
              <w:pStyle w:val="25"/>
              <w:rPr>
                <w:rFonts w:ascii="Times New Roman"/>
                <w:lang w:eastAsia="en-US"/>
              </w:rPr>
            </w:pPr>
          </w:p>
        </w:tc>
        <w:tc>
          <w:tcPr>
            <w:tcW w:w="1560" w:type="dxa"/>
            <w:tcBorders>
              <w:left w:val="single" w:color="000000" w:sz="6" w:space="0"/>
            </w:tcBorders>
            <w:noWrap w:val="0"/>
            <w:vAlign w:val="top"/>
          </w:tcPr>
          <w:p>
            <w:pPr>
              <w:pStyle w:val="25"/>
              <w:rPr>
                <w:rFonts w:ascii="Times New Roman"/>
                <w:lang w:eastAsia="en-US"/>
              </w:rPr>
            </w:pPr>
          </w:p>
        </w:tc>
        <w:tc>
          <w:tcPr>
            <w:tcW w:w="1491" w:type="dxa"/>
            <w:noWrap w:val="0"/>
            <w:vAlign w:val="top"/>
          </w:tcPr>
          <w:p>
            <w:pPr>
              <w:pStyle w:val="25"/>
              <w:rPr>
                <w:rFonts w:ascii="Times New Roman"/>
                <w:lang w:eastAsia="en-US"/>
              </w:rPr>
            </w:pPr>
          </w:p>
        </w:tc>
        <w:tc>
          <w:tcPr>
            <w:tcW w:w="828" w:type="dxa"/>
            <w:noWrap w:val="0"/>
            <w:vAlign w:val="top"/>
          </w:tcPr>
          <w:p>
            <w:pPr>
              <w:pStyle w:val="25"/>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08" w:type="dxa"/>
            <w:noWrap w:val="0"/>
            <w:vAlign w:val="top"/>
          </w:tcPr>
          <w:p>
            <w:pPr>
              <w:pStyle w:val="25"/>
              <w:spacing w:before="79"/>
              <w:ind w:left="7"/>
              <w:jc w:val="center"/>
              <w:rPr>
                <w:sz w:val="24"/>
                <w:lang w:eastAsia="en-US"/>
              </w:rPr>
            </w:pPr>
            <w:r>
              <w:rPr>
                <w:sz w:val="24"/>
                <w:lang w:eastAsia="en-US"/>
              </w:rPr>
              <w:t>3</w:t>
            </w:r>
          </w:p>
        </w:tc>
        <w:tc>
          <w:tcPr>
            <w:tcW w:w="1303" w:type="dxa"/>
            <w:noWrap w:val="0"/>
            <w:vAlign w:val="top"/>
          </w:tcPr>
          <w:p>
            <w:pPr>
              <w:pStyle w:val="25"/>
              <w:rPr>
                <w:rFonts w:ascii="Times New Roman"/>
                <w:lang w:eastAsia="en-US"/>
              </w:rPr>
            </w:pPr>
          </w:p>
        </w:tc>
        <w:tc>
          <w:tcPr>
            <w:tcW w:w="2633" w:type="dxa"/>
            <w:tcBorders>
              <w:right w:val="single" w:color="000000" w:sz="6" w:space="0"/>
            </w:tcBorders>
            <w:noWrap w:val="0"/>
            <w:vAlign w:val="top"/>
          </w:tcPr>
          <w:p>
            <w:pPr>
              <w:pStyle w:val="25"/>
              <w:rPr>
                <w:rFonts w:ascii="Times New Roman"/>
                <w:lang w:eastAsia="en-US"/>
              </w:rPr>
            </w:pPr>
          </w:p>
        </w:tc>
        <w:tc>
          <w:tcPr>
            <w:tcW w:w="1560" w:type="dxa"/>
            <w:tcBorders>
              <w:left w:val="single" w:color="000000" w:sz="6" w:space="0"/>
            </w:tcBorders>
            <w:noWrap w:val="0"/>
            <w:vAlign w:val="top"/>
          </w:tcPr>
          <w:p>
            <w:pPr>
              <w:pStyle w:val="25"/>
              <w:rPr>
                <w:rFonts w:ascii="Times New Roman"/>
                <w:lang w:eastAsia="en-US"/>
              </w:rPr>
            </w:pPr>
          </w:p>
        </w:tc>
        <w:tc>
          <w:tcPr>
            <w:tcW w:w="1491" w:type="dxa"/>
            <w:noWrap w:val="0"/>
            <w:vAlign w:val="top"/>
          </w:tcPr>
          <w:p>
            <w:pPr>
              <w:pStyle w:val="25"/>
              <w:rPr>
                <w:rFonts w:ascii="Times New Roman"/>
                <w:lang w:eastAsia="en-US"/>
              </w:rPr>
            </w:pPr>
          </w:p>
        </w:tc>
        <w:tc>
          <w:tcPr>
            <w:tcW w:w="828" w:type="dxa"/>
            <w:noWrap w:val="0"/>
            <w:vAlign w:val="top"/>
          </w:tcPr>
          <w:p>
            <w:pPr>
              <w:pStyle w:val="25"/>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08" w:type="dxa"/>
            <w:noWrap w:val="0"/>
            <w:vAlign w:val="top"/>
          </w:tcPr>
          <w:p>
            <w:pPr>
              <w:pStyle w:val="25"/>
              <w:spacing w:before="79"/>
              <w:ind w:left="7"/>
              <w:jc w:val="center"/>
              <w:rPr>
                <w:sz w:val="24"/>
                <w:lang w:eastAsia="en-US"/>
              </w:rPr>
            </w:pPr>
            <w:r>
              <w:rPr>
                <w:sz w:val="24"/>
                <w:lang w:eastAsia="en-US"/>
              </w:rPr>
              <w:t>4</w:t>
            </w:r>
          </w:p>
        </w:tc>
        <w:tc>
          <w:tcPr>
            <w:tcW w:w="1303" w:type="dxa"/>
            <w:noWrap w:val="0"/>
            <w:vAlign w:val="top"/>
          </w:tcPr>
          <w:p>
            <w:pPr>
              <w:pStyle w:val="25"/>
              <w:rPr>
                <w:rFonts w:ascii="Times New Roman"/>
                <w:lang w:eastAsia="en-US"/>
              </w:rPr>
            </w:pPr>
          </w:p>
        </w:tc>
        <w:tc>
          <w:tcPr>
            <w:tcW w:w="2633" w:type="dxa"/>
            <w:tcBorders>
              <w:right w:val="single" w:color="000000" w:sz="6" w:space="0"/>
            </w:tcBorders>
            <w:noWrap w:val="0"/>
            <w:vAlign w:val="top"/>
          </w:tcPr>
          <w:p>
            <w:pPr>
              <w:pStyle w:val="25"/>
              <w:rPr>
                <w:rFonts w:ascii="Times New Roman"/>
                <w:lang w:eastAsia="en-US"/>
              </w:rPr>
            </w:pPr>
          </w:p>
        </w:tc>
        <w:tc>
          <w:tcPr>
            <w:tcW w:w="1560" w:type="dxa"/>
            <w:tcBorders>
              <w:left w:val="single" w:color="000000" w:sz="6" w:space="0"/>
            </w:tcBorders>
            <w:noWrap w:val="0"/>
            <w:vAlign w:val="top"/>
          </w:tcPr>
          <w:p>
            <w:pPr>
              <w:pStyle w:val="25"/>
              <w:rPr>
                <w:rFonts w:ascii="Times New Roman"/>
                <w:lang w:eastAsia="en-US"/>
              </w:rPr>
            </w:pPr>
          </w:p>
        </w:tc>
        <w:tc>
          <w:tcPr>
            <w:tcW w:w="1491" w:type="dxa"/>
            <w:noWrap w:val="0"/>
            <w:vAlign w:val="top"/>
          </w:tcPr>
          <w:p>
            <w:pPr>
              <w:pStyle w:val="25"/>
              <w:rPr>
                <w:rFonts w:ascii="Times New Roman"/>
                <w:lang w:eastAsia="en-US"/>
              </w:rPr>
            </w:pPr>
          </w:p>
        </w:tc>
        <w:tc>
          <w:tcPr>
            <w:tcW w:w="828" w:type="dxa"/>
            <w:noWrap w:val="0"/>
            <w:vAlign w:val="top"/>
          </w:tcPr>
          <w:p>
            <w:pPr>
              <w:pStyle w:val="25"/>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708" w:type="dxa"/>
            <w:noWrap w:val="0"/>
            <w:vAlign w:val="top"/>
          </w:tcPr>
          <w:p>
            <w:pPr>
              <w:pStyle w:val="25"/>
              <w:spacing w:before="81"/>
              <w:ind w:left="7"/>
              <w:jc w:val="center"/>
              <w:rPr>
                <w:sz w:val="24"/>
                <w:lang w:eastAsia="en-US"/>
              </w:rPr>
            </w:pPr>
            <w:r>
              <w:rPr>
                <w:sz w:val="24"/>
                <w:lang w:eastAsia="en-US"/>
              </w:rPr>
              <w:t>5</w:t>
            </w:r>
          </w:p>
        </w:tc>
        <w:tc>
          <w:tcPr>
            <w:tcW w:w="1303" w:type="dxa"/>
            <w:noWrap w:val="0"/>
            <w:vAlign w:val="top"/>
          </w:tcPr>
          <w:p>
            <w:pPr>
              <w:pStyle w:val="25"/>
              <w:rPr>
                <w:rFonts w:ascii="Times New Roman"/>
                <w:lang w:eastAsia="en-US"/>
              </w:rPr>
            </w:pPr>
          </w:p>
        </w:tc>
        <w:tc>
          <w:tcPr>
            <w:tcW w:w="2633" w:type="dxa"/>
            <w:tcBorders>
              <w:right w:val="single" w:color="000000" w:sz="6" w:space="0"/>
            </w:tcBorders>
            <w:noWrap w:val="0"/>
            <w:vAlign w:val="top"/>
          </w:tcPr>
          <w:p>
            <w:pPr>
              <w:pStyle w:val="25"/>
              <w:rPr>
                <w:rFonts w:ascii="Times New Roman"/>
                <w:lang w:eastAsia="en-US"/>
              </w:rPr>
            </w:pPr>
          </w:p>
        </w:tc>
        <w:tc>
          <w:tcPr>
            <w:tcW w:w="1560" w:type="dxa"/>
            <w:tcBorders>
              <w:left w:val="single" w:color="000000" w:sz="6" w:space="0"/>
            </w:tcBorders>
            <w:noWrap w:val="0"/>
            <w:vAlign w:val="top"/>
          </w:tcPr>
          <w:p>
            <w:pPr>
              <w:pStyle w:val="25"/>
              <w:rPr>
                <w:rFonts w:ascii="Times New Roman"/>
                <w:lang w:eastAsia="en-US"/>
              </w:rPr>
            </w:pPr>
          </w:p>
        </w:tc>
        <w:tc>
          <w:tcPr>
            <w:tcW w:w="1491" w:type="dxa"/>
            <w:noWrap w:val="0"/>
            <w:vAlign w:val="top"/>
          </w:tcPr>
          <w:p>
            <w:pPr>
              <w:pStyle w:val="25"/>
              <w:rPr>
                <w:rFonts w:ascii="Times New Roman"/>
                <w:lang w:eastAsia="en-US"/>
              </w:rPr>
            </w:pPr>
          </w:p>
        </w:tc>
        <w:tc>
          <w:tcPr>
            <w:tcW w:w="828" w:type="dxa"/>
            <w:noWrap w:val="0"/>
            <w:vAlign w:val="top"/>
          </w:tcPr>
          <w:p>
            <w:pPr>
              <w:pStyle w:val="25"/>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08" w:type="dxa"/>
            <w:noWrap w:val="0"/>
            <w:vAlign w:val="top"/>
          </w:tcPr>
          <w:p>
            <w:pPr>
              <w:pStyle w:val="25"/>
              <w:spacing w:before="79"/>
              <w:ind w:left="92" w:right="85"/>
              <w:jc w:val="center"/>
              <w:rPr>
                <w:sz w:val="24"/>
                <w:lang w:eastAsia="en-US"/>
              </w:rPr>
            </w:pPr>
            <w:r>
              <w:rPr>
                <w:w w:val="200"/>
                <w:sz w:val="24"/>
                <w:lang w:eastAsia="en-US"/>
              </w:rPr>
              <w:t>„„</w:t>
            </w:r>
          </w:p>
        </w:tc>
        <w:tc>
          <w:tcPr>
            <w:tcW w:w="1303" w:type="dxa"/>
            <w:noWrap w:val="0"/>
            <w:vAlign w:val="top"/>
          </w:tcPr>
          <w:p>
            <w:pPr>
              <w:pStyle w:val="25"/>
              <w:rPr>
                <w:rFonts w:ascii="Times New Roman"/>
                <w:lang w:eastAsia="en-US"/>
              </w:rPr>
            </w:pPr>
          </w:p>
        </w:tc>
        <w:tc>
          <w:tcPr>
            <w:tcW w:w="2633" w:type="dxa"/>
            <w:tcBorders>
              <w:right w:val="single" w:color="000000" w:sz="6" w:space="0"/>
            </w:tcBorders>
            <w:noWrap w:val="0"/>
            <w:vAlign w:val="top"/>
          </w:tcPr>
          <w:p>
            <w:pPr>
              <w:pStyle w:val="25"/>
              <w:rPr>
                <w:rFonts w:ascii="Times New Roman"/>
                <w:lang w:eastAsia="en-US"/>
              </w:rPr>
            </w:pPr>
          </w:p>
        </w:tc>
        <w:tc>
          <w:tcPr>
            <w:tcW w:w="1560" w:type="dxa"/>
            <w:tcBorders>
              <w:left w:val="single" w:color="000000" w:sz="6" w:space="0"/>
            </w:tcBorders>
            <w:noWrap w:val="0"/>
            <w:vAlign w:val="top"/>
          </w:tcPr>
          <w:p>
            <w:pPr>
              <w:pStyle w:val="25"/>
              <w:rPr>
                <w:rFonts w:ascii="Times New Roman"/>
                <w:lang w:eastAsia="en-US"/>
              </w:rPr>
            </w:pPr>
          </w:p>
        </w:tc>
        <w:tc>
          <w:tcPr>
            <w:tcW w:w="1491" w:type="dxa"/>
            <w:noWrap w:val="0"/>
            <w:vAlign w:val="top"/>
          </w:tcPr>
          <w:p>
            <w:pPr>
              <w:pStyle w:val="25"/>
              <w:rPr>
                <w:rFonts w:ascii="Times New Roman"/>
                <w:lang w:eastAsia="en-US"/>
              </w:rPr>
            </w:pPr>
          </w:p>
        </w:tc>
        <w:tc>
          <w:tcPr>
            <w:tcW w:w="828" w:type="dxa"/>
            <w:noWrap w:val="0"/>
            <w:vAlign w:val="top"/>
          </w:tcPr>
          <w:p>
            <w:pPr>
              <w:pStyle w:val="25"/>
              <w:rPr>
                <w:rFonts w:ascii="Times New Roman"/>
                <w:lang w:eastAsia="en-US"/>
              </w:rPr>
            </w:pPr>
          </w:p>
        </w:tc>
      </w:tr>
    </w:tbl>
    <w:p>
      <w:pPr>
        <w:pStyle w:val="11"/>
        <w:spacing w:line="360" w:lineRule="auto"/>
        <w:rPr>
          <w:sz w:val="21"/>
          <w:szCs w:val="21"/>
        </w:rPr>
      </w:pPr>
    </w:p>
    <w:p>
      <w:pPr>
        <w:pStyle w:val="11"/>
        <w:spacing w:line="360" w:lineRule="auto"/>
        <w:rPr>
          <w:sz w:val="21"/>
          <w:szCs w:val="21"/>
        </w:rPr>
      </w:pPr>
    </w:p>
    <w:p>
      <w:pPr>
        <w:pStyle w:val="11"/>
        <w:tabs>
          <w:tab w:val="left" w:pos="6230"/>
          <w:tab w:val="left" w:pos="8445"/>
        </w:tabs>
        <w:spacing w:before="195" w:line="360" w:lineRule="auto"/>
        <w:ind w:left="4789" w:right="978"/>
        <w:rPr>
          <w:sz w:val="21"/>
          <w:szCs w:val="21"/>
        </w:rPr>
      </w:pPr>
      <w:r>
        <w:rPr>
          <w:sz w:val="21"/>
          <w:szCs w:val="21"/>
        </w:rPr>
        <w:t>供应商</w:t>
      </w:r>
      <w:r>
        <w:rPr>
          <w:rFonts w:hint="eastAsia"/>
          <w:sz w:val="21"/>
          <w:szCs w:val="21"/>
          <w:lang w:eastAsia="zh-CN"/>
        </w:rPr>
        <w:t>签章</w:t>
      </w:r>
      <w:r>
        <w:rPr>
          <w:sz w:val="21"/>
          <w:szCs w:val="21"/>
        </w:rPr>
        <w:t>：</w:t>
      </w:r>
      <w:r>
        <w:rPr>
          <w:sz w:val="21"/>
          <w:szCs w:val="21"/>
          <w:u w:val="single"/>
        </w:rPr>
        <w:t xml:space="preserve"> </w:t>
      </w:r>
      <w:r>
        <w:rPr>
          <w:sz w:val="21"/>
          <w:szCs w:val="21"/>
          <w:u w:val="single"/>
        </w:rPr>
        <w:tab/>
      </w:r>
      <w:r>
        <w:rPr>
          <w:sz w:val="21"/>
          <w:szCs w:val="21"/>
          <w:u w:val="single"/>
        </w:rPr>
        <w:t xml:space="preserve"> </w:t>
      </w:r>
      <w:r>
        <w:rPr>
          <w:sz w:val="21"/>
          <w:szCs w:val="21"/>
        </w:rPr>
        <w:t>日</w:t>
      </w:r>
      <w:r>
        <w:rPr>
          <w:sz w:val="21"/>
          <w:szCs w:val="21"/>
        </w:rPr>
        <w:tab/>
      </w:r>
      <w:r>
        <w:rPr>
          <w:sz w:val="21"/>
          <w:szCs w:val="21"/>
        </w:rPr>
        <w:t>期：</w:t>
      </w:r>
      <w:r>
        <w:rPr>
          <w:sz w:val="21"/>
          <w:szCs w:val="21"/>
          <w:u w:val="single"/>
        </w:rPr>
        <w:t xml:space="preserve"> </w:t>
      </w:r>
      <w:r>
        <w:rPr>
          <w:sz w:val="21"/>
          <w:szCs w:val="21"/>
          <w:u w:val="single"/>
        </w:rPr>
        <w:tab/>
      </w:r>
    </w:p>
    <w:p>
      <w:pPr>
        <w:pStyle w:val="11"/>
        <w:spacing w:line="360" w:lineRule="auto"/>
        <w:rPr>
          <w:sz w:val="21"/>
          <w:szCs w:val="21"/>
        </w:rPr>
      </w:pPr>
    </w:p>
    <w:p>
      <w:pPr>
        <w:rPr>
          <w:b/>
        </w:rPr>
      </w:pPr>
      <w:r>
        <w:rPr>
          <w:b/>
        </w:rPr>
        <w:t>备注：</w:t>
      </w:r>
    </w:p>
    <w:p>
      <w:pPr>
        <w:pStyle w:val="11"/>
        <w:spacing w:before="9" w:line="360" w:lineRule="auto"/>
        <w:rPr>
          <w:b/>
          <w:sz w:val="21"/>
          <w:szCs w:val="21"/>
        </w:rPr>
      </w:pPr>
    </w:p>
    <w:p>
      <w:pPr>
        <w:pStyle w:val="26"/>
        <w:numPr>
          <w:ilvl w:val="0"/>
          <w:numId w:val="31"/>
        </w:numPr>
        <w:tabs>
          <w:tab w:val="left" w:pos="1236"/>
        </w:tabs>
        <w:autoSpaceDE w:val="0"/>
        <w:autoSpaceDN w:val="0"/>
        <w:spacing w:line="360" w:lineRule="auto"/>
        <w:ind w:hanging="242" w:firstLineChars="0"/>
        <w:rPr>
          <w:rFonts w:ascii="宋体" w:hAnsi="宋体"/>
          <w:szCs w:val="21"/>
        </w:rPr>
      </w:pPr>
      <w:r>
        <w:rPr>
          <w:rFonts w:ascii="宋体" w:hAnsi="宋体"/>
          <w:szCs w:val="21"/>
        </w:rPr>
        <w:t>表中所列内容为满足本项目要求的主要成交标的；</w:t>
      </w:r>
    </w:p>
    <w:p>
      <w:pPr>
        <w:pStyle w:val="26"/>
        <w:numPr>
          <w:ilvl w:val="0"/>
          <w:numId w:val="31"/>
        </w:numPr>
        <w:tabs>
          <w:tab w:val="left" w:pos="1236"/>
        </w:tabs>
        <w:autoSpaceDE w:val="0"/>
        <w:autoSpaceDN w:val="0"/>
        <w:spacing w:before="161" w:line="360" w:lineRule="auto"/>
        <w:ind w:left="560" w:right="557" w:firstLine="434" w:firstLineChars="0"/>
        <w:rPr>
          <w:rFonts w:ascii="宋体" w:hAnsi="宋体"/>
          <w:szCs w:val="21"/>
        </w:rPr>
      </w:pPr>
      <w:r>
        <w:rPr>
          <w:rFonts w:ascii="宋体" w:hAnsi="宋体"/>
          <w:szCs w:val="21"/>
        </w:rPr>
        <w:t>成交供应商提供的以上承诺情况（含货物名称、品牌、规格、型号、数量、单价），将按约定随评审结果同时公告。</w:t>
      </w:r>
    </w:p>
    <w:p>
      <w:pPr>
        <w:pStyle w:val="26"/>
        <w:numPr>
          <w:ilvl w:val="0"/>
          <w:numId w:val="31"/>
        </w:numPr>
        <w:tabs>
          <w:tab w:val="left" w:pos="1236"/>
        </w:tabs>
        <w:autoSpaceDE w:val="0"/>
        <w:autoSpaceDN w:val="0"/>
        <w:spacing w:before="1" w:line="360" w:lineRule="auto"/>
        <w:ind w:hanging="242" w:firstLineChars="0"/>
        <w:rPr>
          <w:rFonts w:ascii="宋体" w:hAnsi="宋体"/>
          <w:szCs w:val="21"/>
        </w:rPr>
      </w:pPr>
      <w:r>
        <w:rPr>
          <w:rFonts w:ascii="宋体" w:hAnsi="宋体"/>
          <w:szCs w:val="21"/>
        </w:rPr>
        <w:t>本页《主要成交标的承诺函》由供应商准确填写。</w:t>
      </w:r>
    </w:p>
    <w:p>
      <w:pPr>
        <w:pStyle w:val="26"/>
        <w:numPr>
          <w:ilvl w:val="0"/>
          <w:numId w:val="31"/>
        </w:numPr>
        <w:tabs>
          <w:tab w:val="left" w:pos="1238"/>
          <w:tab w:val="left" w:pos="6450"/>
        </w:tabs>
        <w:autoSpaceDE w:val="0"/>
        <w:autoSpaceDN w:val="0"/>
        <w:spacing w:before="161" w:line="360" w:lineRule="auto"/>
        <w:ind w:left="560" w:right="558" w:firstLine="434" w:firstLineChars="0"/>
        <w:rPr>
          <w:rFonts w:ascii="宋体" w:hAnsi="宋体"/>
          <w:szCs w:val="21"/>
        </w:rPr>
      </w:pPr>
      <w:r>
        <w:rPr>
          <w:rFonts w:ascii="宋体" w:hAnsi="宋体"/>
          <w:szCs w:val="21"/>
        </w:rPr>
        <w:t>最后报价在上表的基础上</w:t>
      </w:r>
      <w:r>
        <w:rPr>
          <w:rFonts w:hint="eastAsia" w:ascii="宋体" w:hAnsi="宋体"/>
          <w:szCs w:val="21"/>
        </w:rPr>
        <w:t>按最终磋商后的报价计算。</w:t>
      </w:r>
      <w:r>
        <w:rPr>
          <w:rFonts w:ascii="宋体" w:hAnsi="宋体"/>
          <w:szCs w:val="21"/>
        </w:rPr>
        <w:t>（如：供应商第一次报价为 100 元，最终报价为 80 元，则折扣优惠为 80%。）。</w:t>
      </w:r>
    </w:p>
    <w:p>
      <w:pPr>
        <w:spacing w:line="360" w:lineRule="auto"/>
        <w:rPr>
          <w:rFonts w:ascii="宋体" w:hAnsi="宋体"/>
        </w:rPr>
        <w:sectPr>
          <w:pgSz w:w="11910" w:h="16840"/>
          <w:pgMar w:top="1400" w:right="1240" w:bottom="1220" w:left="1240" w:header="877" w:footer="1033" w:gutter="0"/>
          <w:pgNumType w:fmt="decimal"/>
          <w:cols w:space="720" w:num="1"/>
        </w:sectPr>
      </w:pPr>
    </w:p>
    <w:p>
      <w:pPr>
        <w:pStyle w:val="8"/>
        <w:keepNext w:val="0"/>
        <w:keepLines w:val="0"/>
        <w:autoSpaceDE w:val="0"/>
        <w:autoSpaceDN w:val="0"/>
        <w:spacing w:before="104" w:after="0" w:line="360" w:lineRule="auto"/>
        <w:ind w:left="1367" w:right="1503"/>
        <w:jc w:val="center"/>
        <w:rPr>
          <w:rFonts w:ascii="宋体" w:hAnsi="宋体" w:cs="宋体"/>
          <w:kern w:val="0"/>
          <w:sz w:val="21"/>
          <w:szCs w:val="21"/>
          <w:lang w:val="zh-CN" w:bidi="zh-CN"/>
        </w:rPr>
      </w:pPr>
      <w:r>
        <w:rPr>
          <w:rFonts w:ascii="宋体" w:hAnsi="宋体" w:cs="宋体"/>
          <w:kern w:val="0"/>
          <w:sz w:val="21"/>
          <w:szCs w:val="21"/>
          <w:lang w:val="zh-CN" w:bidi="zh-CN"/>
        </w:rPr>
        <w:t>十、其他相关证明材料</w:t>
      </w:r>
    </w:p>
    <w:p>
      <w:pPr>
        <w:pStyle w:val="11"/>
        <w:spacing w:before="160" w:line="360" w:lineRule="auto"/>
        <w:ind w:left="560" w:right="561" w:firstLine="479"/>
        <w:rPr>
          <w:sz w:val="21"/>
          <w:szCs w:val="21"/>
        </w:rPr>
      </w:pPr>
      <w:r>
        <w:rPr>
          <w:sz w:val="21"/>
          <w:szCs w:val="21"/>
        </w:rPr>
        <w:t>提供符合磋商</w:t>
      </w:r>
      <w:r>
        <w:rPr>
          <w:b/>
          <w:color w:val="FF0000"/>
          <w:sz w:val="21"/>
          <w:szCs w:val="21"/>
        </w:rPr>
        <w:t>邀请</w:t>
      </w:r>
      <w:r>
        <w:rPr>
          <w:sz w:val="21"/>
          <w:szCs w:val="21"/>
        </w:rPr>
        <w:t>采购需求及评审方法和标准规定的相关证明文件。</w:t>
      </w:r>
    </w:p>
    <w:p>
      <w:pPr>
        <w:pStyle w:val="11"/>
        <w:spacing w:line="360" w:lineRule="auto"/>
        <w:rPr>
          <w:sz w:val="21"/>
          <w:szCs w:val="21"/>
        </w:rPr>
      </w:pPr>
    </w:p>
    <w:p>
      <w:pPr>
        <w:pStyle w:val="11"/>
        <w:spacing w:line="360" w:lineRule="auto"/>
        <w:rPr>
          <w:sz w:val="21"/>
          <w:szCs w:val="21"/>
        </w:rPr>
      </w:pPr>
    </w:p>
    <w:p>
      <w:pPr>
        <w:pStyle w:val="11"/>
        <w:spacing w:before="2" w:line="360" w:lineRule="auto"/>
        <w:rPr>
          <w:sz w:val="21"/>
          <w:szCs w:val="21"/>
        </w:rPr>
      </w:pPr>
    </w:p>
    <w:p>
      <w:pPr>
        <w:autoSpaceDE w:val="0"/>
        <w:autoSpaceDN w:val="0"/>
        <w:spacing w:line="360" w:lineRule="auto"/>
        <w:ind w:right="210" w:rightChars="100" w:firstLine="422" w:firstLineChars="200"/>
        <w:jc w:val="left"/>
        <w:rPr>
          <w:rFonts w:ascii="宋体" w:hAnsi="宋体" w:cs="宋体"/>
          <w:b/>
          <w:kern w:val="0"/>
          <w:lang w:val="zh-CN" w:bidi="zh-CN"/>
        </w:rPr>
      </w:pPr>
      <w:r>
        <w:rPr>
          <w:rFonts w:ascii="宋体" w:hAnsi="宋体" w:cs="宋体"/>
          <w:b/>
          <w:kern w:val="0"/>
          <w:lang w:val="zh-CN" w:bidi="zh-CN"/>
        </w:rPr>
        <w:t>特别提示：</w:t>
      </w:r>
    </w:p>
    <w:p>
      <w:pPr>
        <w:pStyle w:val="11"/>
        <w:spacing w:before="161" w:line="360" w:lineRule="auto"/>
        <w:ind w:left="560" w:right="557" w:firstLine="434"/>
        <w:jc w:val="both"/>
        <w:rPr>
          <w:sz w:val="21"/>
          <w:szCs w:val="21"/>
        </w:rPr>
      </w:pPr>
      <w:r>
        <w:rPr>
          <w:sz w:val="21"/>
          <w:szCs w:val="21"/>
        </w:rPr>
        <w:t>供应商在响应文件制作时可在此栏内上传磋商文件要求上传的证明资料，如营业执照、税务登记证、产品彩页、证书、检测报告、产品图片等，应将上述证明材料制作成扫描件上传。</w:t>
      </w:r>
    </w:p>
    <w:p>
      <w:pPr>
        <w:autoSpaceDE w:val="0"/>
        <w:autoSpaceDN w:val="0"/>
        <w:spacing w:line="360" w:lineRule="auto"/>
        <w:ind w:right="210" w:rightChars="100"/>
        <w:jc w:val="left"/>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10" w:usb3="00000000" w:csb0="0004009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3</w:t>
                          </w:r>
                          <w:r>
                            <w:fldChar w:fldCharType="end"/>
                          </w:r>
                          <w:r>
                            <w:t xml:space="preserve"> / </w:t>
                          </w:r>
                          <w:r>
                            <w:fldChar w:fldCharType="begin"/>
                          </w:r>
                          <w:r>
                            <w:instrText xml:space="preserve"> NUMPAGES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3</w:t>
                    </w:r>
                    <w:r>
                      <w:fldChar w:fldCharType="end"/>
                    </w:r>
                    <w:r>
                      <w:t xml:space="preserve"> / </w:t>
                    </w:r>
                    <w:r>
                      <w:fldChar w:fldCharType="begin"/>
                    </w:r>
                    <w:r>
                      <w:instrText xml:space="preserve"> NUMPAGES  \* MERGEFORMAT </w:instrText>
                    </w:r>
                    <w:r>
                      <w:fldChar w:fldCharType="separate"/>
                    </w:r>
                    <w:r>
                      <w:t>54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460118"/>
    <w:multiLevelType w:val="multilevel"/>
    <w:tmpl w:val="05460118"/>
    <w:lvl w:ilvl="0" w:tentative="0">
      <w:start w:val="31"/>
      <w:numFmt w:val="decimal"/>
      <w:lvlText w:val="%1."/>
      <w:lvlJc w:val="left"/>
      <w:pPr>
        <w:ind w:left="137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1011" w:hanging="540"/>
      </w:pPr>
      <w:rPr>
        <w:rFonts w:hint="default" w:ascii="宋体" w:hAnsi="宋体" w:eastAsia="宋体" w:cs="宋体"/>
        <w:w w:val="100"/>
        <w:sz w:val="24"/>
        <w:szCs w:val="24"/>
        <w:lang w:val="zh-CN" w:eastAsia="zh-CN" w:bidi="zh-CN"/>
      </w:rPr>
    </w:lvl>
    <w:lvl w:ilvl="2" w:tentative="0">
      <w:start w:val="0"/>
      <w:numFmt w:val="bullet"/>
      <w:lvlText w:val="•"/>
      <w:lvlJc w:val="left"/>
      <w:pPr>
        <w:ind w:left="2274" w:hanging="540"/>
      </w:pPr>
      <w:rPr>
        <w:rFonts w:hint="default"/>
        <w:lang w:val="zh-CN" w:eastAsia="zh-CN" w:bidi="zh-CN"/>
      </w:rPr>
    </w:lvl>
    <w:lvl w:ilvl="3" w:tentative="0">
      <w:start w:val="0"/>
      <w:numFmt w:val="bullet"/>
      <w:lvlText w:val="•"/>
      <w:lvlJc w:val="left"/>
      <w:pPr>
        <w:ind w:left="3168" w:hanging="540"/>
      </w:pPr>
      <w:rPr>
        <w:rFonts w:hint="default"/>
        <w:lang w:val="zh-CN" w:eastAsia="zh-CN" w:bidi="zh-CN"/>
      </w:rPr>
    </w:lvl>
    <w:lvl w:ilvl="4" w:tentative="0">
      <w:start w:val="0"/>
      <w:numFmt w:val="bullet"/>
      <w:lvlText w:val="•"/>
      <w:lvlJc w:val="left"/>
      <w:pPr>
        <w:ind w:left="4062" w:hanging="540"/>
      </w:pPr>
      <w:rPr>
        <w:rFonts w:hint="default"/>
        <w:lang w:val="zh-CN" w:eastAsia="zh-CN" w:bidi="zh-CN"/>
      </w:rPr>
    </w:lvl>
    <w:lvl w:ilvl="5" w:tentative="0">
      <w:start w:val="0"/>
      <w:numFmt w:val="bullet"/>
      <w:lvlText w:val="•"/>
      <w:lvlJc w:val="left"/>
      <w:pPr>
        <w:ind w:left="4956" w:hanging="540"/>
      </w:pPr>
      <w:rPr>
        <w:rFonts w:hint="default"/>
        <w:lang w:val="zh-CN" w:eastAsia="zh-CN" w:bidi="zh-CN"/>
      </w:rPr>
    </w:lvl>
    <w:lvl w:ilvl="6" w:tentative="0">
      <w:start w:val="0"/>
      <w:numFmt w:val="bullet"/>
      <w:lvlText w:val="•"/>
      <w:lvlJc w:val="left"/>
      <w:pPr>
        <w:ind w:left="5850" w:hanging="540"/>
      </w:pPr>
      <w:rPr>
        <w:rFonts w:hint="default"/>
        <w:lang w:val="zh-CN" w:eastAsia="zh-CN" w:bidi="zh-CN"/>
      </w:rPr>
    </w:lvl>
    <w:lvl w:ilvl="7" w:tentative="0">
      <w:start w:val="0"/>
      <w:numFmt w:val="bullet"/>
      <w:lvlText w:val="•"/>
      <w:lvlJc w:val="left"/>
      <w:pPr>
        <w:ind w:left="6744" w:hanging="540"/>
      </w:pPr>
      <w:rPr>
        <w:rFonts w:hint="default"/>
        <w:lang w:val="zh-CN" w:eastAsia="zh-CN" w:bidi="zh-CN"/>
      </w:rPr>
    </w:lvl>
    <w:lvl w:ilvl="8" w:tentative="0">
      <w:start w:val="0"/>
      <w:numFmt w:val="bullet"/>
      <w:lvlText w:val="•"/>
      <w:lvlJc w:val="left"/>
      <w:pPr>
        <w:ind w:left="7638" w:hanging="540"/>
      </w:pPr>
      <w:rPr>
        <w:rFonts w:hint="default"/>
        <w:lang w:val="zh-CN" w:eastAsia="zh-CN" w:bidi="zh-CN"/>
      </w:rPr>
    </w:lvl>
  </w:abstractNum>
  <w:abstractNum w:abstractNumId="1">
    <w:nsid w:val="056B0E64"/>
    <w:multiLevelType w:val="multilevel"/>
    <w:tmpl w:val="056B0E64"/>
    <w:lvl w:ilvl="0" w:tentative="0">
      <w:start w:val="1"/>
      <w:numFmt w:val="decimal"/>
      <w:lvlText w:val="%1."/>
      <w:lvlJc w:val="left"/>
      <w:pPr>
        <w:ind w:left="1255" w:hanging="244"/>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1011" w:hanging="420"/>
      </w:pPr>
      <w:rPr>
        <w:rFonts w:hint="default" w:ascii="宋体" w:hAnsi="宋体" w:eastAsia="宋体" w:cs="宋体"/>
        <w:w w:val="100"/>
        <w:sz w:val="24"/>
        <w:szCs w:val="24"/>
        <w:lang w:val="zh-CN" w:eastAsia="zh-CN" w:bidi="zh-CN"/>
      </w:rPr>
    </w:lvl>
    <w:lvl w:ilvl="2" w:tentative="0">
      <w:start w:val="0"/>
      <w:numFmt w:val="bullet"/>
      <w:lvlText w:val="•"/>
      <w:lvlJc w:val="left"/>
      <w:pPr>
        <w:ind w:left="2167" w:hanging="420"/>
      </w:pPr>
      <w:rPr>
        <w:rFonts w:hint="default"/>
        <w:lang w:val="zh-CN" w:eastAsia="zh-CN" w:bidi="zh-CN"/>
      </w:rPr>
    </w:lvl>
    <w:lvl w:ilvl="3" w:tentative="0">
      <w:start w:val="0"/>
      <w:numFmt w:val="bullet"/>
      <w:lvlText w:val="•"/>
      <w:lvlJc w:val="left"/>
      <w:pPr>
        <w:ind w:left="3074" w:hanging="420"/>
      </w:pPr>
      <w:rPr>
        <w:rFonts w:hint="default"/>
        <w:lang w:val="zh-CN" w:eastAsia="zh-CN" w:bidi="zh-CN"/>
      </w:rPr>
    </w:lvl>
    <w:lvl w:ilvl="4" w:tentative="0">
      <w:start w:val="0"/>
      <w:numFmt w:val="bullet"/>
      <w:lvlText w:val="•"/>
      <w:lvlJc w:val="left"/>
      <w:pPr>
        <w:ind w:left="3982" w:hanging="420"/>
      </w:pPr>
      <w:rPr>
        <w:rFonts w:hint="default"/>
        <w:lang w:val="zh-CN" w:eastAsia="zh-CN" w:bidi="zh-CN"/>
      </w:rPr>
    </w:lvl>
    <w:lvl w:ilvl="5" w:tentative="0">
      <w:start w:val="0"/>
      <w:numFmt w:val="bullet"/>
      <w:lvlText w:val="•"/>
      <w:lvlJc w:val="left"/>
      <w:pPr>
        <w:ind w:left="4889" w:hanging="420"/>
      </w:pPr>
      <w:rPr>
        <w:rFonts w:hint="default"/>
        <w:lang w:val="zh-CN" w:eastAsia="zh-CN" w:bidi="zh-CN"/>
      </w:rPr>
    </w:lvl>
    <w:lvl w:ilvl="6" w:tentative="0">
      <w:start w:val="0"/>
      <w:numFmt w:val="bullet"/>
      <w:lvlText w:val="•"/>
      <w:lvlJc w:val="left"/>
      <w:pPr>
        <w:ind w:left="5796" w:hanging="420"/>
      </w:pPr>
      <w:rPr>
        <w:rFonts w:hint="default"/>
        <w:lang w:val="zh-CN" w:eastAsia="zh-CN" w:bidi="zh-CN"/>
      </w:rPr>
    </w:lvl>
    <w:lvl w:ilvl="7" w:tentative="0">
      <w:start w:val="0"/>
      <w:numFmt w:val="bullet"/>
      <w:lvlText w:val="•"/>
      <w:lvlJc w:val="left"/>
      <w:pPr>
        <w:ind w:left="6704" w:hanging="420"/>
      </w:pPr>
      <w:rPr>
        <w:rFonts w:hint="default"/>
        <w:lang w:val="zh-CN" w:eastAsia="zh-CN" w:bidi="zh-CN"/>
      </w:rPr>
    </w:lvl>
    <w:lvl w:ilvl="8" w:tentative="0">
      <w:start w:val="0"/>
      <w:numFmt w:val="bullet"/>
      <w:lvlText w:val="•"/>
      <w:lvlJc w:val="left"/>
      <w:pPr>
        <w:ind w:left="7611" w:hanging="420"/>
      </w:pPr>
      <w:rPr>
        <w:rFonts w:hint="default"/>
        <w:lang w:val="zh-CN" w:eastAsia="zh-CN" w:bidi="zh-CN"/>
      </w:rPr>
    </w:lvl>
  </w:abstractNum>
  <w:abstractNum w:abstractNumId="2">
    <w:nsid w:val="05A001BE"/>
    <w:multiLevelType w:val="multilevel"/>
    <w:tmpl w:val="05A001BE"/>
    <w:lvl w:ilvl="0" w:tentative="0">
      <w:start w:val="11"/>
      <w:numFmt w:val="decimal"/>
      <w:lvlText w:val="%1"/>
      <w:lvlJc w:val="left"/>
      <w:pPr>
        <w:ind w:left="574" w:hanging="603"/>
      </w:pPr>
      <w:rPr>
        <w:rFonts w:hint="default"/>
        <w:lang w:val="zh-CN" w:eastAsia="zh-CN" w:bidi="zh-CN"/>
      </w:rPr>
    </w:lvl>
    <w:lvl w:ilvl="1" w:tentative="0">
      <w:start w:val="1"/>
      <w:numFmt w:val="decimal"/>
      <w:lvlText w:val="%1.%2"/>
      <w:lvlJc w:val="left"/>
      <w:pPr>
        <w:ind w:left="574"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2349" w:hanging="603"/>
      </w:pPr>
      <w:rPr>
        <w:rFonts w:hint="default"/>
        <w:lang w:val="zh-CN" w:eastAsia="zh-CN" w:bidi="zh-CN"/>
      </w:rPr>
    </w:lvl>
    <w:lvl w:ilvl="3" w:tentative="0">
      <w:start w:val="0"/>
      <w:numFmt w:val="bullet"/>
      <w:lvlText w:val="•"/>
      <w:lvlJc w:val="left"/>
      <w:pPr>
        <w:ind w:left="3233" w:hanging="603"/>
      </w:pPr>
      <w:rPr>
        <w:rFonts w:hint="default"/>
        <w:lang w:val="zh-CN" w:eastAsia="zh-CN" w:bidi="zh-CN"/>
      </w:rPr>
    </w:lvl>
    <w:lvl w:ilvl="4" w:tentative="0">
      <w:start w:val="0"/>
      <w:numFmt w:val="bullet"/>
      <w:lvlText w:val="•"/>
      <w:lvlJc w:val="left"/>
      <w:pPr>
        <w:ind w:left="4118" w:hanging="603"/>
      </w:pPr>
      <w:rPr>
        <w:rFonts w:hint="default"/>
        <w:lang w:val="zh-CN" w:eastAsia="zh-CN" w:bidi="zh-CN"/>
      </w:rPr>
    </w:lvl>
    <w:lvl w:ilvl="5" w:tentative="0">
      <w:start w:val="0"/>
      <w:numFmt w:val="bullet"/>
      <w:lvlText w:val="•"/>
      <w:lvlJc w:val="left"/>
      <w:pPr>
        <w:ind w:left="5003" w:hanging="603"/>
      </w:pPr>
      <w:rPr>
        <w:rFonts w:hint="default"/>
        <w:lang w:val="zh-CN" w:eastAsia="zh-CN" w:bidi="zh-CN"/>
      </w:rPr>
    </w:lvl>
    <w:lvl w:ilvl="6" w:tentative="0">
      <w:start w:val="0"/>
      <w:numFmt w:val="bullet"/>
      <w:lvlText w:val="•"/>
      <w:lvlJc w:val="left"/>
      <w:pPr>
        <w:ind w:left="5887" w:hanging="603"/>
      </w:pPr>
      <w:rPr>
        <w:rFonts w:hint="default"/>
        <w:lang w:val="zh-CN" w:eastAsia="zh-CN" w:bidi="zh-CN"/>
      </w:rPr>
    </w:lvl>
    <w:lvl w:ilvl="7" w:tentative="0">
      <w:start w:val="0"/>
      <w:numFmt w:val="bullet"/>
      <w:lvlText w:val="•"/>
      <w:lvlJc w:val="left"/>
      <w:pPr>
        <w:ind w:left="6772" w:hanging="603"/>
      </w:pPr>
      <w:rPr>
        <w:rFonts w:hint="default"/>
        <w:lang w:val="zh-CN" w:eastAsia="zh-CN" w:bidi="zh-CN"/>
      </w:rPr>
    </w:lvl>
    <w:lvl w:ilvl="8" w:tentative="0">
      <w:start w:val="0"/>
      <w:numFmt w:val="bullet"/>
      <w:lvlText w:val="•"/>
      <w:lvlJc w:val="left"/>
      <w:pPr>
        <w:ind w:left="7657" w:hanging="603"/>
      </w:pPr>
      <w:rPr>
        <w:rFonts w:hint="default"/>
        <w:lang w:val="zh-CN" w:eastAsia="zh-CN" w:bidi="zh-CN"/>
      </w:rPr>
    </w:lvl>
  </w:abstractNum>
  <w:abstractNum w:abstractNumId="3">
    <w:nsid w:val="07B84632"/>
    <w:multiLevelType w:val="multilevel"/>
    <w:tmpl w:val="07B84632"/>
    <w:lvl w:ilvl="0" w:tentative="0">
      <w:start w:val="1"/>
      <w:numFmt w:val="decimal"/>
      <w:lvlText w:val="%1"/>
      <w:lvlJc w:val="left"/>
      <w:pPr>
        <w:ind w:left="1142" w:hanging="485"/>
      </w:pPr>
      <w:rPr>
        <w:rFonts w:hint="default"/>
        <w:lang w:val="zh-CN" w:eastAsia="zh-CN" w:bidi="zh-CN"/>
      </w:rPr>
    </w:lvl>
    <w:lvl w:ilvl="1" w:tentative="0">
      <w:start w:val="1"/>
      <w:numFmt w:val="decimal"/>
      <w:lvlText w:val="%1.%2"/>
      <w:lvlJc w:val="left"/>
      <w:pPr>
        <w:ind w:left="1142" w:hanging="485"/>
      </w:pPr>
      <w:rPr>
        <w:rFonts w:hint="default" w:ascii="宋体" w:hAnsi="宋体" w:eastAsia="宋体" w:cs="宋体"/>
        <w:b/>
        <w:bCs/>
        <w:spacing w:val="0"/>
        <w:w w:val="99"/>
        <w:sz w:val="24"/>
        <w:szCs w:val="24"/>
        <w:lang w:val="zh-CN" w:eastAsia="zh-CN" w:bidi="zh-CN"/>
      </w:rPr>
    </w:lvl>
    <w:lvl w:ilvl="2" w:tentative="0">
      <w:start w:val="1"/>
      <w:numFmt w:val="decimal"/>
      <w:lvlText w:val="%1.%2.%3"/>
      <w:lvlJc w:val="left"/>
      <w:pPr>
        <w:ind w:left="1314" w:hanging="660"/>
      </w:pPr>
      <w:rPr>
        <w:rFonts w:hint="default" w:ascii="宋体" w:hAnsi="宋体" w:eastAsia="宋体" w:cs="宋体"/>
        <w:w w:val="100"/>
        <w:sz w:val="24"/>
        <w:szCs w:val="24"/>
        <w:lang w:val="zh-CN" w:eastAsia="zh-CN" w:bidi="zh-CN"/>
      </w:rPr>
    </w:lvl>
    <w:lvl w:ilvl="3" w:tentative="0">
      <w:start w:val="0"/>
      <w:numFmt w:val="bullet"/>
      <w:lvlText w:val="•"/>
      <w:lvlJc w:val="left"/>
      <w:pPr>
        <w:ind w:left="2265" w:hanging="660"/>
      </w:pPr>
      <w:rPr>
        <w:rFonts w:hint="default"/>
        <w:lang w:val="zh-CN" w:eastAsia="zh-CN" w:bidi="zh-CN"/>
      </w:rPr>
    </w:lvl>
    <w:lvl w:ilvl="4" w:tentative="0">
      <w:start w:val="0"/>
      <w:numFmt w:val="bullet"/>
      <w:lvlText w:val="•"/>
      <w:lvlJc w:val="left"/>
      <w:pPr>
        <w:ind w:left="3211" w:hanging="660"/>
      </w:pPr>
      <w:rPr>
        <w:rFonts w:hint="default"/>
        <w:lang w:val="zh-CN" w:eastAsia="zh-CN" w:bidi="zh-CN"/>
      </w:rPr>
    </w:lvl>
    <w:lvl w:ilvl="5" w:tentative="0">
      <w:start w:val="0"/>
      <w:numFmt w:val="bullet"/>
      <w:lvlText w:val="•"/>
      <w:lvlJc w:val="left"/>
      <w:pPr>
        <w:ind w:left="4157" w:hanging="660"/>
      </w:pPr>
      <w:rPr>
        <w:rFonts w:hint="default"/>
        <w:lang w:val="zh-CN" w:eastAsia="zh-CN" w:bidi="zh-CN"/>
      </w:rPr>
    </w:lvl>
    <w:lvl w:ilvl="6" w:tentative="0">
      <w:start w:val="0"/>
      <w:numFmt w:val="bullet"/>
      <w:lvlText w:val="•"/>
      <w:lvlJc w:val="left"/>
      <w:pPr>
        <w:ind w:left="5103" w:hanging="660"/>
      </w:pPr>
      <w:rPr>
        <w:rFonts w:hint="default"/>
        <w:lang w:val="zh-CN" w:eastAsia="zh-CN" w:bidi="zh-CN"/>
      </w:rPr>
    </w:lvl>
    <w:lvl w:ilvl="7" w:tentative="0">
      <w:start w:val="0"/>
      <w:numFmt w:val="bullet"/>
      <w:lvlText w:val="•"/>
      <w:lvlJc w:val="left"/>
      <w:pPr>
        <w:ind w:left="6049" w:hanging="660"/>
      </w:pPr>
      <w:rPr>
        <w:rFonts w:hint="default"/>
        <w:lang w:val="zh-CN" w:eastAsia="zh-CN" w:bidi="zh-CN"/>
      </w:rPr>
    </w:lvl>
    <w:lvl w:ilvl="8" w:tentative="0">
      <w:start w:val="0"/>
      <w:numFmt w:val="bullet"/>
      <w:lvlText w:val="•"/>
      <w:lvlJc w:val="left"/>
      <w:pPr>
        <w:ind w:left="6994" w:hanging="660"/>
      </w:pPr>
      <w:rPr>
        <w:rFonts w:hint="default"/>
        <w:lang w:val="zh-CN" w:eastAsia="zh-CN" w:bidi="zh-CN"/>
      </w:rPr>
    </w:lvl>
  </w:abstractNum>
  <w:abstractNum w:abstractNumId="4">
    <w:nsid w:val="07CF4A6A"/>
    <w:multiLevelType w:val="multilevel"/>
    <w:tmpl w:val="07CF4A6A"/>
    <w:lvl w:ilvl="0" w:tentative="0">
      <w:start w:val="1"/>
      <w:numFmt w:val="decimal"/>
      <w:lvlText w:val="（%1）"/>
      <w:lvlJc w:val="left"/>
      <w:pPr>
        <w:ind w:left="1595"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2382" w:hanging="601"/>
      </w:pPr>
      <w:rPr>
        <w:rFonts w:hint="default"/>
        <w:lang w:val="zh-CN" w:eastAsia="zh-CN" w:bidi="zh-CN"/>
      </w:rPr>
    </w:lvl>
    <w:lvl w:ilvl="2" w:tentative="0">
      <w:start w:val="0"/>
      <w:numFmt w:val="bullet"/>
      <w:lvlText w:val="•"/>
      <w:lvlJc w:val="left"/>
      <w:pPr>
        <w:ind w:left="3165" w:hanging="601"/>
      </w:pPr>
      <w:rPr>
        <w:rFonts w:hint="default"/>
        <w:lang w:val="zh-CN" w:eastAsia="zh-CN" w:bidi="zh-CN"/>
      </w:rPr>
    </w:lvl>
    <w:lvl w:ilvl="3" w:tentative="0">
      <w:start w:val="0"/>
      <w:numFmt w:val="bullet"/>
      <w:lvlText w:val="•"/>
      <w:lvlJc w:val="left"/>
      <w:pPr>
        <w:ind w:left="3947" w:hanging="601"/>
      </w:pPr>
      <w:rPr>
        <w:rFonts w:hint="default"/>
        <w:lang w:val="zh-CN" w:eastAsia="zh-CN" w:bidi="zh-CN"/>
      </w:rPr>
    </w:lvl>
    <w:lvl w:ilvl="4" w:tentative="0">
      <w:start w:val="0"/>
      <w:numFmt w:val="bullet"/>
      <w:lvlText w:val="•"/>
      <w:lvlJc w:val="left"/>
      <w:pPr>
        <w:ind w:left="4730" w:hanging="601"/>
      </w:pPr>
      <w:rPr>
        <w:rFonts w:hint="default"/>
        <w:lang w:val="zh-CN" w:eastAsia="zh-CN" w:bidi="zh-CN"/>
      </w:rPr>
    </w:lvl>
    <w:lvl w:ilvl="5" w:tentative="0">
      <w:start w:val="0"/>
      <w:numFmt w:val="bullet"/>
      <w:lvlText w:val="•"/>
      <w:lvlJc w:val="left"/>
      <w:pPr>
        <w:ind w:left="5513" w:hanging="601"/>
      </w:pPr>
      <w:rPr>
        <w:rFonts w:hint="default"/>
        <w:lang w:val="zh-CN" w:eastAsia="zh-CN" w:bidi="zh-CN"/>
      </w:rPr>
    </w:lvl>
    <w:lvl w:ilvl="6" w:tentative="0">
      <w:start w:val="0"/>
      <w:numFmt w:val="bullet"/>
      <w:lvlText w:val="•"/>
      <w:lvlJc w:val="left"/>
      <w:pPr>
        <w:ind w:left="6295" w:hanging="601"/>
      </w:pPr>
      <w:rPr>
        <w:rFonts w:hint="default"/>
        <w:lang w:val="zh-CN" w:eastAsia="zh-CN" w:bidi="zh-CN"/>
      </w:rPr>
    </w:lvl>
    <w:lvl w:ilvl="7" w:tentative="0">
      <w:start w:val="0"/>
      <w:numFmt w:val="bullet"/>
      <w:lvlText w:val="•"/>
      <w:lvlJc w:val="left"/>
      <w:pPr>
        <w:ind w:left="7078" w:hanging="601"/>
      </w:pPr>
      <w:rPr>
        <w:rFonts w:hint="default"/>
        <w:lang w:val="zh-CN" w:eastAsia="zh-CN" w:bidi="zh-CN"/>
      </w:rPr>
    </w:lvl>
    <w:lvl w:ilvl="8" w:tentative="0">
      <w:start w:val="0"/>
      <w:numFmt w:val="bullet"/>
      <w:lvlText w:val="•"/>
      <w:lvlJc w:val="left"/>
      <w:pPr>
        <w:ind w:left="7861" w:hanging="601"/>
      </w:pPr>
      <w:rPr>
        <w:rFonts w:hint="default"/>
        <w:lang w:val="zh-CN" w:eastAsia="zh-CN" w:bidi="zh-CN"/>
      </w:rPr>
    </w:lvl>
  </w:abstractNum>
  <w:abstractNum w:abstractNumId="5">
    <w:nsid w:val="10B9488B"/>
    <w:multiLevelType w:val="multilevel"/>
    <w:tmpl w:val="10B9488B"/>
    <w:lvl w:ilvl="0" w:tentative="0">
      <w:start w:val="14"/>
      <w:numFmt w:val="decimal"/>
      <w:lvlText w:val="%1"/>
      <w:lvlJc w:val="left"/>
      <w:pPr>
        <w:ind w:left="574" w:hanging="603"/>
      </w:pPr>
      <w:rPr>
        <w:rFonts w:hint="default"/>
        <w:lang w:val="zh-CN" w:eastAsia="zh-CN" w:bidi="zh-CN"/>
      </w:rPr>
    </w:lvl>
    <w:lvl w:ilvl="1" w:tentative="0">
      <w:start w:val="1"/>
      <w:numFmt w:val="decimal"/>
      <w:lvlText w:val="%1.%2"/>
      <w:lvlJc w:val="left"/>
      <w:pPr>
        <w:ind w:left="574"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2349" w:hanging="603"/>
      </w:pPr>
      <w:rPr>
        <w:rFonts w:hint="default"/>
        <w:lang w:val="zh-CN" w:eastAsia="zh-CN" w:bidi="zh-CN"/>
      </w:rPr>
    </w:lvl>
    <w:lvl w:ilvl="3" w:tentative="0">
      <w:start w:val="0"/>
      <w:numFmt w:val="bullet"/>
      <w:lvlText w:val="•"/>
      <w:lvlJc w:val="left"/>
      <w:pPr>
        <w:ind w:left="3233" w:hanging="603"/>
      </w:pPr>
      <w:rPr>
        <w:rFonts w:hint="default"/>
        <w:lang w:val="zh-CN" w:eastAsia="zh-CN" w:bidi="zh-CN"/>
      </w:rPr>
    </w:lvl>
    <w:lvl w:ilvl="4" w:tentative="0">
      <w:start w:val="0"/>
      <w:numFmt w:val="bullet"/>
      <w:lvlText w:val="•"/>
      <w:lvlJc w:val="left"/>
      <w:pPr>
        <w:ind w:left="4118" w:hanging="603"/>
      </w:pPr>
      <w:rPr>
        <w:rFonts w:hint="default"/>
        <w:lang w:val="zh-CN" w:eastAsia="zh-CN" w:bidi="zh-CN"/>
      </w:rPr>
    </w:lvl>
    <w:lvl w:ilvl="5" w:tentative="0">
      <w:start w:val="0"/>
      <w:numFmt w:val="bullet"/>
      <w:lvlText w:val="•"/>
      <w:lvlJc w:val="left"/>
      <w:pPr>
        <w:ind w:left="5003" w:hanging="603"/>
      </w:pPr>
      <w:rPr>
        <w:rFonts w:hint="default"/>
        <w:lang w:val="zh-CN" w:eastAsia="zh-CN" w:bidi="zh-CN"/>
      </w:rPr>
    </w:lvl>
    <w:lvl w:ilvl="6" w:tentative="0">
      <w:start w:val="0"/>
      <w:numFmt w:val="bullet"/>
      <w:lvlText w:val="•"/>
      <w:lvlJc w:val="left"/>
      <w:pPr>
        <w:ind w:left="5887" w:hanging="603"/>
      </w:pPr>
      <w:rPr>
        <w:rFonts w:hint="default"/>
        <w:lang w:val="zh-CN" w:eastAsia="zh-CN" w:bidi="zh-CN"/>
      </w:rPr>
    </w:lvl>
    <w:lvl w:ilvl="7" w:tentative="0">
      <w:start w:val="0"/>
      <w:numFmt w:val="bullet"/>
      <w:lvlText w:val="•"/>
      <w:lvlJc w:val="left"/>
      <w:pPr>
        <w:ind w:left="6772" w:hanging="603"/>
      </w:pPr>
      <w:rPr>
        <w:rFonts w:hint="default"/>
        <w:lang w:val="zh-CN" w:eastAsia="zh-CN" w:bidi="zh-CN"/>
      </w:rPr>
    </w:lvl>
    <w:lvl w:ilvl="8" w:tentative="0">
      <w:start w:val="0"/>
      <w:numFmt w:val="bullet"/>
      <w:lvlText w:val="•"/>
      <w:lvlJc w:val="left"/>
      <w:pPr>
        <w:ind w:left="7657" w:hanging="603"/>
      </w:pPr>
      <w:rPr>
        <w:rFonts w:hint="default"/>
        <w:lang w:val="zh-CN" w:eastAsia="zh-CN" w:bidi="zh-CN"/>
      </w:rPr>
    </w:lvl>
  </w:abstractNum>
  <w:abstractNum w:abstractNumId="6">
    <w:nsid w:val="1F441BF7"/>
    <w:multiLevelType w:val="multilevel"/>
    <w:tmpl w:val="1F441BF7"/>
    <w:lvl w:ilvl="0" w:tentative="0">
      <w:start w:val="1"/>
      <w:numFmt w:val="decimal"/>
      <w:lvlText w:val="%1."/>
      <w:lvlJc w:val="left"/>
      <w:pPr>
        <w:ind w:left="560" w:hanging="241"/>
      </w:pPr>
      <w:rPr>
        <w:rFonts w:hint="eastAsia" w:ascii="宋体" w:hAnsi="宋体" w:eastAsia="宋体" w:cs="宋体"/>
        <w:spacing w:val="0"/>
        <w:w w:val="100"/>
        <w:sz w:val="22"/>
        <w:szCs w:val="22"/>
        <w:lang w:val="zh-CN" w:eastAsia="zh-CN" w:bidi="zh-CN"/>
      </w:rPr>
    </w:lvl>
    <w:lvl w:ilvl="1" w:tentative="0">
      <w:start w:val="0"/>
      <w:numFmt w:val="bullet"/>
      <w:lvlText w:val="•"/>
      <w:lvlJc w:val="left"/>
      <w:pPr>
        <w:ind w:left="1446" w:hanging="241"/>
      </w:pPr>
      <w:rPr>
        <w:rFonts w:hint="default"/>
        <w:lang w:val="zh-CN" w:eastAsia="zh-CN" w:bidi="zh-CN"/>
      </w:rPr>
    </w:lvl>
    <w:lvl w:ilvl="2" w:tentative="0">
      <w:start w:val="0"/>
      <w:numFmt w:val="bullet"/>
      <w:lvlText w:val="•"/>
      <w:lvlJc w:val="left"/>
      <w:pPr>
        <w:ind w:left="2333" w:hanging="241"/>
      </w:pPr>
      <w:rPr>
        <w:rFonts w:hint="default"/>
        <w:lang w:val="zh-CN" w:eastAsia="zh-CN" w:bidi="zh-CN"/>
      </w:rPr>
    </w:lvl>
    <w:lvl w:ilvl="3" w:tentative="0">
      <w:start w:val="0"/>
      <w:numFmt w:val="bullet"/>
      <w:lvlText w:val="•"/>
      <w:lvlJc w:val="left"/>
      <w:pPr>
        <w:ind w:left="3219" w:hanging="241"/>
      </w:pPr>
      <w:rPr>
        <w:rFonts w:hint="default"/>
        <w:lang w:val="zh-CN" w:eastAsia="zh-CN" w:bidi="zh-CN"/>
      </w:rPr>
    </w:lvl>
    <w:lvl w:ilvl="4" w:tentative="0">
      <w:start w:val="0"/>
      <w:numFmt w:val="bullet"/>
      <w:lvlText w:val="•"/>
      <w:lvlJc w:val="left"/>
      <w:pPr>
        <w:ind w:left="4106" w:hanging="241"/>
      </w:pPr>
      <w:rPr>
        <w:rFonts w:hint="default"/>
        <w:lang w:val="zh-CN" w:eastAsia="zh-CN" w:bidi="zh-CN"/>
      </w:rPr>
    </w:lvl>
    <w:lvl w:ilvl="5" w:tentative="0">
      <w:start w:val="0"/>
      <w:numFmt w:val="bullet"/>
      <w:lvlText w:val="•"/>
      <w:lvlJc w:val="left"/>
      <w:pPr>
        <w:ind w:left="4993" w:hanging="241"/>
      </w:pPr>
      <w:rPr>
        <w:rFonts w:hint="default"/>
        <w:lang w:val="zh-CN" w:eastAsia="zh-CN" w:bidi="zh-CN"/>
      </w:rPr>
    </w:lvl>
    <w:lvl w:ilvl="6" w:tentative="0">
      <w:start w:val="0"/>
      <w:numFmt w:val="bullet"/>
      <w:lvlText w:val="•"/>
      <w:lvlJc w:val="left"/>
      <w:pPr>
        <w:ind w:left="5879" w:hanging="241"/>
      </w:pPr>
      <w:rPr>
        <w:rFonts w:hint="default"/>
        <w:lang w:val="zh-CN" w:eastAsia="zh-CN" w:bidi="zh-CN"/>
      </w:rPr>
    </w:lvl>
    <w:lvl w:ilvl="7" w:tentative="0">
      <w:start w:val="0"/>
      <w:numFmt w:val="bullet"/>
      <w:lvlText w:val="•"/>
      <w:lvlJc w:val="left"/>
      <w:pPr>
        <w:ind w:left="6766" w:hanging="241"/>
      </w:pPr>
      <w:rPr>
        <w:rFonts w:hint="default"/>
        <w:lang w:val="zh-CN" w:eastAsia="zh-CN" w:bidi="zh-CN"/>
      </w:rPr>
    </w:lvl>
    <w:lvl w:ilvl="8" w:tentative="0">
      <w:start w:val="0"/>
      <w:numFmt w:val="bullet"/>
      <w:lvlText w:val="•"/>
      <w:lvlJc w:val="left"/>
      <w:pPr>
        <w:ind w:left="7653" w:hanging="241"/>
      </w:pPr>
      <w:rPr>
        <w:rFonts w:hint="default"/>
        <w:lang w:val="zh-CN" w:eastAsia="zh-CN" w:bidi="zh-CN"/>
      </w:rPr>
    </w:lvl>
  </w:abstractNum>
  <w:abstractNum w:abstractNumId="7">
    <w:nsid w:val="2BDA79F1"/>
    <w:multiLevelType w:val="multilevel"/>
    <w:tmpl w:val="2BDA79F1"/>
    <w:lvl w:ilvl="0" w:tentative="0">
      <w:start w:val="17"/>
      <w:numFmt w:val="decimal"/>
      <w:lvlText w:val="%1."/>
      <w:lvlJc w:val="left"/>
      <w:pPr>
        <w:ind w:left="137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574" w:hanging="540"/>
      </w:pPr>
      <w:rPr>
        <w:rFonts w:hint="default" w:ascii="宋体" w:hAnsi="宋体" w:eastAsia="宋体" w:cs="宋体"/>
        <w:w w:val="100"/>
        <w:sz w:val="24"/>
        <w:szCs w:val="24"/>
        <w:lang w:val="zh-CN" w:eastAsia="zh-CN" w:bidi="zh-CN"/>
      </w:rPr>
    </w:lvl>
    <w:lvl w:ilvl="2" w:tentative="0">
      <w:start w:val="1"/>
      <w:numFmt w:val="decimal"/>
      <w:lvlText w:val="%1.%2.%3"/>
      <w:lvlJc w:val="left"/>
      <w:pPr>
        <w:ind w:left="574" w:hanging="843"/>
      </w:pPr>
      <w:rPr>
        <w:rFonts w:hint="default" w:ascii="宋体" w:hAnsi="宋体" w:eastAsia="宋体" w:cs="宋体"/>
        <w:w w:val="100"/>
        <w:sz w:val="24"/>
        <w:szCs w:val="24"/>
        <w:lang w:val="zh-CN" w:eastAsia="zh-CN" w:bidi="zh-CN"/>
      </w:rPr>
    </w:lvl>
    <w:lvl w:ilvl="3" w:tentative="0">
      <w:start w:val="1"/>
      <w:numFmt w:val="decimal"/>
      <w:lvlText w:val="%1.%2.%3.%4"/>
      <w:lvlJc w:val="left"/>
      <w:pPr>
        <w:ind w:left="574" w:hanging="1020"/>
      </w:pPr>
      <w:rPr>
        <w:rFonts w:hint="default" w:ascii="宋体" w:hAnsi="宋体" w:eastAsia="宋体" w:cs="宋体"/>
        <w:w w:val="100"/>
        <w:sz w:val="24"/>
        <w:szCs w:val="24"/>
        <w:lang w:val="zh-CN" w:eastAsia="zh-CN" w:bidi="zh-CN"/>
      </w:rPr>
    </w:lvl>
    <w:lvl w:ilvl="4" w:tentative="0">
      <w:start w:val="0"/>
      <w:numFmt w:val="bullet"/>
      <w:lvlText w:val="•"/>
      <w:lvlJc w:val="left"/>
      <w:pPr>
        <w:ind w:left="3691" w:hanging="1020"/>
      </w:pPr>
      <w:rPr>
        <w:rFonts w:hint="default"/>
        <w:lang w:val="zh-CN" w:eastAsia="zh-CN" w:bidi="zh-CN"/>
      </w:rPr>
    </w:lvl>
    <w:lvl w:ilvl="5" w:tentative="0">
      <w:start w:val="0"/>
      <w:numFmt w:val="bullet"/>
      <w:lvlText w:val="•"/>
      <w:lvlJc w:val="left"/>
      <w:pPr>
        <w:ind w:left="4647" w:hanging="1020"/>
      </w:pPr>
      <w:rPr>
        <w:rFonts w:hint="default"/>
        <w:lang w:val="zh-CN" w:eastAsia="zh-CN" w:bidi="zh-CN"/>
      </w:rPr>
    </w:lvl>
    <w:lvl w:ilvl="6" w:tentative="0">
      <w:start w:val="0"/>
      <w:numFmt w:val="bullet"/>
      <w:lvlText w:val="•"/>
      <w:lvlJc w:val="left"/>
      <w:pPr>
        <w:ind w:left="5603" w:hanging="1020"/>
      </w:pPr>
      <w:rPr>
        <w:rFonts w:hint="default"/>
        <w:lang w:val="zh-CN" w:eastAsia="zh-CN" w:bidi="zh-CN"/>
      </w:rPr>
    </w:lvl>
    <w:lvl w:ilvl="7" w:tentative="0">
      <w:start w:val="0"/>
      <w:numFmt w:val="bullet"/>
      <w:lvlText w:val="•"/>
      <w:lvlJc w:val="left"/>
      <w:pPr>
        <w:ind w:left="6559" w:hanging="1020"/>
      </w:pPr>
      <w:rPr>
        <w:rFonts w:hint="default"/>
        <w:lang w:val="zh-CN" w:eastAsia="zh-CN" w:bidi="zh-CN"/>
      </w:rPr>
    </w:lvl>
    <w:lvl w:ilvl="8" w:tentative="0">
      <w:start w:val="0"/>
      <w:numFmt w:val="bullet"/>
      <w:lvlText w:val="•"/>
      <w:lvlJc w:val="left"/>
      <w:pPr>
        <w:ind w:left="7514" w:hanging="1020"/>
      </w:pPr>
      <w:rPr>
        <w:rFonts w:hint="default"/>
        <w:lang w:val="zh-CN" w:eastAsia="zh-CN" w:bidi="zh-CN"/>
      </w:rPr>
    </w:lvl>
  </w:abstractNum>
  <w:abstractNum w:abstractNumId="8">
    <w:nsid w:val="2E7040AF"/>
    <w:multiLevelType w:val="multilevel"/>
    <w:tmpl w:val="2E7040AF"/>
    <w:lvl w:ilvl="0" w:tentative="0">
      <w:start w:val="1"/>
      <w:numFmt w:val="decimal"/>
      <w:lvlText w:val="（%1）"/>
      <w:lvlJc w:val="left"/>
      <w:pPr>
        <w:ind w:left="574" w:hanging="606"/>
      </w:pPr>
      <w:rPr>
        <w:rFonts w:hint="default" w:ascii="宋体" w:hAnsi="宋体" w:eastAsia="宋体" w:cs="宋体"/>
        <w:spacing w:val="0"/>
        <w:w w:val="100"/>
        <w:sz w:val="22"/>
        <w:szCs w:val="22"/>
        <w:lang w:val="zh-CN" w:eastAsia="zh-CN" w:bidi="zh-CN"/>
      </w:rPr>
    </w:lvl>
    <w:lvl w:ilvl="1" w:tentative="0">
      <w:start w:val="0"/>
      <w:numFmt w:val="bullet"/>
      <w:lvlText w:val="•"/>
      <w:lvlJc w:val="left"/>
      <w:pPr>
        <w:ind w:left="1464" w:hanging="606"/>
      </w:pPr>
      <w:rPr>
        <w:rFonts w:hint="default"/>
        <w:lang w:val="zh-CN" w:eastAsia="zh-CN" w:bidi="zh-CN"/>
      </w:rPr>
    </w:lvl>
    <w:lvl w:ilvl="2" w:tentative="0">
      <w:start w:val="0"/>
      <w:numFmt w:val="bullet"/>
      <w:lvlText w:val="•"/>
      <w:lvlJc w:val="left"/>
      <w:pPr>
        <w:ind w:left="2349" w:hanging="606"/>
      </w:pPr>
      <w:rPr>
        <w:rFonts w:hint="default"/>
        <w:lang w:val="zh-CN" w:eastAsia="zh-CN" w:bidi="zh-CN"/>
      </w:rPr>
    </w:lvl>
    <w:lvl w:ilvl="3" w:tentative="0">
      <w:start w:val="0"/>
      <w:numFmt w:val="bullet"/>
      <w:lvlText w:val="•"/>
      <w:lvlJc w:val="left"/>
      <w:pPr>
        <w:ind w:left="3233" w:hanging="606"/>
      </w:pPr>
      <w:rPr>
        <w:rFonts w:hint="default"/>
        <w:lang w:val="zh-CN" w:eastAsia="zh-CN" w:bidi="zh-CN"/>
      </w:rPr>
    </w:lvl>
    <w:lvl w:ilvl="4" w:tentative="0">
      <w:start w:val="0"/>
      <w:numFmt w:val="bullet"/>
      <w:lvlText w:val="•"/>
      <w:lvlJc w:val="left"/>
      <w:pPr>
        <w:ind w:left="4118" w:hanging="606"/>
      </w:pPr>
      <w:rPr>
        <w:rFonts w:hint="default"/>
        <w:lang w:val="zh-CN" w:eastAsia="zh-CN" w:bidi="zh-CN"/>
      </w:rPr>
    </w:lvl>
    <w:lvl w:ilvl="5" w:tentative="0">
      <w:start w:val="0"/>
      <w:numFmt w:val="bullet"/>
      <w:lvlText w:val="•"/>
      <w:lvlJc w:val="left"/>
      <w:pPr>
        <w:ind w:left="5003" w:hanging="606"/>
      </w:pPr>
      <w:rPr>
        <w:rFonts w:hint="default"/>
        <w:lang w:val="zh-CN" w:eastAsia="zh-CN" w:bidi="zh-CN"/>
      </w:rPr>
    </w:lvl>
    <w:lvl w:ilvl="6" w:tentative="0">
      <w:start w:val="0"/>
      <w:numFmt w:val="bullet"/>
      <w:lvlText w:val="•"/>
      <w:lvlJc w:val="left"/>
      <w:pPr>
        <w:ind w:left="5887" w:hanging="606"/>
      </w:pPr>
      <w:rPr>
        <w:rFonts w:hint="default"/>
        <w:lang w:val="zh-CN" w:eastAsia="zh-CN" w:bidi="zh-CN"/>
      </w:rPr>
    </w:lvl>
    <w:lvl w:ilvl="7" w:tentative="0">
      <w:start w:val="0"/>
      <w:numFmt w:val="bullet"/>
      <w:lvlText w:val="•"/>
      <w:lvlJc w:val="left"/>
      <w:pPr>
        <w:ind w:left="6772" w:hanging="606"/>
      </w:pPr>
      <w:rPr>
        <w:rFonts w:hint="default"/>
        <w:lang w:val="zh-CN" w:eastAsia="zh-CN" w:bidi="zh-CN"/>
      </w:rPr>
    </w:lvl>
    <w:lvl w:ilvl="8" w:tentative="0">
      <w:start w:val="0"/>
      <w:numFmt w:val="bullet"/>
      <w:lvlText w:val="•"/>
      <w:lvlJc w:val="left"/>
      <w:pPr>
        <w:ind w:left="7657" w:hanging="606"/>
      </w:pPr>
      <w:rPr>
        <w:rFonts w:hint="default"/>
        <w:lang w:val="zh-CN" w:eastAsia="zh-CN" w:bidi="zh-CN"/>
      </w:rPr>
    </w:lvl>
  </w:abstractNum>
  <w:abstractNum w:abstractNumId="9">
    <w:nsid w:val="2FFD4674"/>
    <w:multiLevelType w:val="multilevel"/>
    <w:tmpl w:val="2FFD4674"/>
    <w:lvl w:ilvl="0" w:tentative="0">
      <w:start w:val="2"/>
      <w:numFmt w:val="decimal"/>
      <w:lvlText w:val="%1"/>
      <w:lvlJc w:val="left"/>
      <w:pPr>
        <w:ind w:left="1142" w:hanging="485"/>
      </w:pPr>
      <w:rPr>
        <w:rFonts w:hint="default"/>
        <w:lang w:val="zh-CN" w:eastAsia="zh-CN" w:bidi="zh-CN"/>
      </w:rPr>
    </w:lvl>
    <w:lvl w:ilvl="1" w:tentative="0">
      <w:start w:val="1"/>
      <w:numFmt w:val="decimal"/>
      <w:lvlText w:val="%1.%2"/>
      <w:lvlJc w:val="left"/>
      <w:pPr>
        <w:ind w:left="1142" w:hanging="485"/>
      </w:pPr>
      <w:rPr>
        <w:rFonts w:hint="default" w:ascii="宋体" w:hAnsi="宋体" w:eastAsia="宋体" w:cs="宋体"/>
        <w:b/>
        <w:bCs/>
        <w:spacing w:val="0"/>
        <w:w w:val="99"/>
        <w:sz w:val="24"/>
        <w:szCs w:val="24"/>
        <w:lang w:val="zh-CN" w:eastAsia="zh-CN" w:bidi="zh-CN"/>
      </w:rPr>
    </w:lvl>
    <w:lvl w:ilvl="2" w:tentative="0">
      <w:start w:val="1"/>
      <w:numFmt w:val="decimal"/>
      <w:lvlText w:val="%1.%2.%3"/>
      <w:lvlJc w:val="left"/>
      <w:pPr>
        <w:ind w:left="220" w:hanging="601"/>
      </w:pPr>
      <w:rPr>
        <w:rFonts w:hint="default" w:ascii="宋体" w:hAnsi="宋体" w:eastAsia="宋体" w:cs="宋体"/>
        <w:w w:val="100"/>
        <w:sz w:val="22"/>
        <w:szCs w:val="22"/>
        <w:lang w:val="zh-CN" w:eastAsia="zh-CN" w:bidi="zh-CN"/>
      </w:rPr>
    </w:lvl>
    <w:lvl w:ilvl="3" w:tentative="0">
      <w:start w:val="0"/>
      <w:numFmt w:val="bullet"/>
      <w:lvlText w:val="•"/>
      <w:lvlJc w:val="left"/>
      <w:pPr>
        <w:ind w:left="2370" w:hanging="601"/>
      </w:pPr>
      <w:rPr>
        <w:rFonts w:hint="default"/>
        <w:lang w:val="zh-CN" w:eastAsia="zh-CN" w:bidi="zh-CN"/>
      </w:rPr>
    </w:lvl>
    <w:lvl w:ilvl="4" w:tentative="0">
      <w:start w:val="0"/>
      <w:numFmt w:val="bullet"/>
      <w:lvlText w:val="•"/>
      <w:lvlJc w:val="left"/>
      <w:pPr>
        <w:ind w:left="3301" w:hanging="601"/>
      </w:pPr>
      <w:rPr>
        <w:rFonts w:hint="default"/>
        <w:lang w:val="zh-CN" w:eastAsia="zh-CN" w:bidi="zh-CN"/>
      </w:rPr>
    </w:lvl>
    <w:lvl w:ilvl="5" w:tentative="0">
      <w:start w:val="0"/>
      <w:numFmt w:val="bullet"/>
      <w:lvlText w:val="•"/>
      <w:lvlJc w:val="left"/>
      <w:pPr>
        <w:ind w:left="4232" w:hanging="601"/>
      </w:pPr>
      <w:rPr>
        <w:rFonts w:hint="default"/>
        <w:lang w:val="zh-CN" w:eastAsia="zh-CN" w:bidi="zh-CN"/>
      </w:rPr>
    </w:lvl>
    <w:lvl w:ilvl="6" w:tentative="0">
      <w:start w:val="0"/>
      <w:numFmt w:val="bullet"/>
      <w:lvlText w:val="•"/>
      <w:lvlJc w:val="left"/>
      <w:pPr>
        <w:ind w:left="5163" w:hanging="601"/>
      </w:pPr>
      <w:rPr>
        <w:rFonts w:hint="default"/>
        <w:lang w:val="zh-CN" w:eastAsia="zh-CN" w:bidi="zh-CN"/>
      </w:rPr>
    </w:lvl>
    <w:lvl w:ilvl="7" w:tentative="0">
      <w:start w:val="0"/>
      <w:numFmt w:val="bullet"/>
      <w:lvlText w:val="•"/>
      <w:lvlJc w:val="left"/>
      <w:pPr>
        <w:ind w:left="6094" w:hanging="601"/>
      </w:pPr>
      <w:rPr>
        <w:rFonts w:hint="default"/>
        <w:lang w:val="zh-CN" w:eastAsia="zh-CN" w:bidi="zh-CN"/>
      </w:rPr>
    </w:lvl>
    <w:lvl w:ilvl="8" w:tentative="0">
      <w:start w:val="0"/>
      <w:numFmt w:val="bullet"/>
      <w:lvlText w:val="•"/>
      <w:lvlJc w:val="left"/>
      <w:pPr>
        <w:ind w:left="7024" w:hanging="601"/>
      </w:pPr>
      <w:rPr>
        <w:rFonts w:hint="default"/>
        <w:lang w:val="zh-CN" w:eastAsia="zh-CN" w:bidi="zh-CN"/>
      </w:rPr>
    </w:lvl>
  </w:abstractNum>
  <w:abstractNum w:abstractNumId="10">
    <w:nsid w:val="32D5632F"/>
    <w:multiLevelType w:val="multilevel"/>
    <w:tmpl w:val="32D5632F"/>
    <w:lvl w:ilvl="0" w:tentative="0">
      <w:start w:val="1"/>
      <w:numFmt w:val="decimal"/>
      <w:lvlText w:val="%1"/>
      <w:lvlJc w:val="left"/>
      <w:pPr>
        <w:ind w:left="1045" w:hanging="485"/>
      </w:pPr>
      <w:rPr>
        <w:rFonts w:hint="default"/>
        <w:lang w:val="zh-CN" w:eastAsia="zh-CN" w:bidi="zh-CN"/>
      </w:rPr>
    </w:lvl>
    <w:lvl w:ilvl="1" w:tentative="0">
      <w:start w:val="1"/>
      <w:numFmt w:val="decimal"/>
      <w:lvlText w:val="%1-%2"/>
      <w:lvlJc w:val="left"/>
      <w:pPr>
        <w:ind w:left="1045" w:hanging="485"/>
      </w:pPr>
      <w:rPr>
        <w:rFonts w:hint="default" w:ascii="宋体" w:hAnsi="宋体" w:eastAsia="宋体" w:cs="宋体"/>
        <w:b/>
        <w:bCs/>
        <w:spacing w:val="-1"/>
        <w:w w:val="99"/>
        <w:sz w:val="24"/>
        <w:szCs w:val="24"/>
        <w:lang w:val="zh-CN" w:eastAsia="zh-CN" w:bidi="zh-CN"/>
      </w:rPr>
    </w:lvl>
    <w:lvl w:ilvl="2" w:tentative="0">
      <w:start w:val="1"/>
      <w:numFmt w:val="decimal"/>
      <w:lvlText w:val="%3."/>
      <w:lvlJc w:val="left"/>
      <w:pPr>
        <w:ind w:left="560" w:hanging="243"/>
      </w:pPr>
      <w:rPr>
        <w:rFonts w:hint="default"/>
        <w:spacing w:val="-17"/>
        <w:w w:val="100"/>
        <w:lang w:val="zh-CN" w:eastAsia="zh-CN" w:bidi="zh-CN"/>
      </w:rPr>
    </w:lvl>
    <w:lvl w:ilvl="3" w:tentative="0">
      <w:start w:val="0"/>
      <w:numFmt w:val="bullet"/>
      <w:lvlText w:val="•"/>
      <w:lvlJc w:val="left"/>
      <w:pPr>
        <w:ind w:left="2903" w:hanging="243"/>
      </w:pPr>
      <w:rPr>
        <w:rFonts w:hint="default"/>
        <w:lang w:val="zh-CN" w:eastAsia="zh-CN" w:bidi="zh-CN"/>
      </w:rPr>
    </w:lvl>
    <w:lvl w:ilvl="4" w:tentative="0">
      <w:start w:val="0"/>
      <w:numFmt w:val="bullet"/>
      <w:lvlText w:val="•"/>
      <w:lvlJc w:val="left"/>
      <w:pPr>
        <w:ind w:left="3835" w:hanging="243"/>
      </w:pPr>
      <w:rPr>
        <w:rFonts w:hint="default"/>
        <w:lang w:val="zh-CN" w:eastAsia="zh-CN" w:bidi="zh-CN"/>
      </w:rPr>
    </w:lvl>
    <w:lvl w:ilvl="5" w:tentative="0">
      <w:start w:val="0"/>
      <w:numFmt w:val="bullet"/>
      <w:lvlText w:val="•"/>
      <w:lvlJc w:val="left"/>
      <w:pPr>
        <w:ind w:left="4767" w:hanging="243"/>
      </w:pPr>
      <w:rPr>
        <w:rFonts w:hint="default"/>
        <w:lang w:val="zh-CN" w:eastAsia="zh-CN" w:bidi="zh-CN"/>
      </w:rPr>
    </w:lvl>
    <w:lvl w:ilvl="6" w:tentative="0">
      <w:start w:val="0"/>
      <w:numFmt w:val="bullet"/>
      <w:lvlText w:val="•"/>
      <w:lvlJc w:val="left"/>
      <w:pPr>
        <w:ind w:left="5699" w:hanging="243"/>
      </w:pPr>
      <w:rPr>
        <w:rFonts w:hint="default"/>
        <w:lang w:val="zh-CN" w:eastAsia="zh-CN" w:bidi="zh-CN"/>
      </w:rPr>
    </w:lvl>
    <w:lvl w:ilvl="7" w:tentative="0">
      <w:start w:val="0"/>
      <w:numFmt w:val="bullet"/>
      <w:lvlText w:val="•"/>
      <w:lvlJc w:val="left"/>
      <w:pPr>
        <w:ind w:left="6630" w:hanging="243"/>
      </w:pPr>
      <w:rPr>
        <w:rFonts w:hint="default"/>
        <w:lang w:val="zh-CN" w:eastAsia="zh-CN" w:bidi="zh-CN"/>
      </w:rPr>
    </w:lvl>
    <w:lvl w:ilvl="8" w:tentative="0">
      <w:start w:val="0"/>
      <w:numFmt w:val="bullet"/>
      <w:lvlText w:val="•"/>
      <w:lvlJc w:val="left"/>
      <w:pPr>
        <w:ind w:left="7562" w:hanging="243"/>
      </w:pPr>
      <w:rPr>
        <w:rFonts w:hint="default"/>
        <w:lang w:val="zh-CN" w:eastAsia="zh-CN" w:bidi="zh-CN"/>
      </w:rPr>
    </w:lvl>
  </w:abstractNum>
  <w:abstractNum w:abstractNumId="11">
    <w:nsid w:val="3324251D"/>
    <w:multiLevelType w:val="multilevel"/>
    <w:tmpl w:val="3324251D"/>
    <w:lvl w:ilvl="0" w:tentative="0">
      <w:start w:val="1"/>
      <w:numFmt w:val="decimal"/>
      <w:lvlText w:val="%1."/>
      <w:lvlJc w:val="left"/>
      <w:pPr>
        <w:ind w:left="574" w:hanging="245"/>
      </w:pPr>
      <w:rPr>
        <w:rFonts w:hint="default" w:ascii="宋体" w:hAnsi="宋体" w:eastAsia="宋体" w:cs="宋体"/>
        <w:w w:val="100"/>
        <w:sz w:val="22"/>
        <w:szCs w:val="22"/>
        <w:lang w:val="zh-CN" w:eastAsia="zh-CN" w:bidi="zh-CN"/>
      </w:rPr>
    </w:lvl>
    <w:lvl w:ilvl="1" w:tentative="0">
      <w:start w:val="0"/>
      <w:numFmt w:val="bullet"/>
      <w:lvlText w:val="•"/>
      <w:lvlJc w:val="left"/>
      <w:pPr>
        <w:ind w:left="1464" w:hanging="245"/>
      </w:pPr>
      <w:rPr>
        <w:rFonts w:hint="default"/>
        <w:lang w:val="zh-CN" w:eastAsia="zh-CN" w:bidi="zh-CN"/>
      </w:rPr>
    </w:lvl>
    <w:lvl w:ilvl="2" w:tentative="0">
      <w:start w:val="0"/>
      <w:numFmt w:val="bullet"/>
      <w:lvlText w:val="•"/>
      <w:lvlJc w:val="left"/>
      <w:pPr>
        <w:ind w:left="2349" w:hanging="245"/>
      </w:pPr>
      <w:rPr>
        <w:rFonts w:hint="default"/>
        <w:lang w:val="zh-CN" w:eastAsia="zh-CN" w:bidi="zh-CN"/>
      </w:rPr>
    </w:lvl>
    <w:lvl w:ilvl="3" w:tentative="0">
      <w:start w:val="0"/>
      <w:numFmt w:val="bullet"/>
      <w:lvlText w:val="•"/>
      <w:lvlJc w:val="left"/>
      <w:pPr>
        <w:ind w:left="3233" w:hanging="245"/>
      </w:pPr>
      <w:rPr>
        <w:rFonts w:hint="default"/>
        <w:lang w:val="zh-CN" w:eastAsia="zh-CN" w:bidi="zh-CN"/>
      </w:rPr>
    </w:lvl>
    <w:lvl w:ilvl="4" w:tentative="0">
      <w:start w:val="0"/>
      <w:numFmt w:val="bullet"/>
      <w:lvlText w:val="•"/>
      <w:lvlJc w:val="left"/>
      <w:pPr>
        <w:ind w:left="4118" w:hanging="245"/>
      </w:pPr>
      <w:rPr>
        <w:rFonts w:hint="default"/>
        <w:lang w:val="zh-CN" w:eastAsia="zh-CN" w:bidi="zh-CN"/>
      </w:rPr>
    </w:lvl>
    <w:lvl w:ilvl="5" w:tentative="0">
      <w:start w:val="0"/>
      <w:numFmt w:val="bullet"/>
      <w:lvlText w:val="•"/>
      <w:lvlJc w:val="left"/>
      <w:pPr>
        <w:ind w:left="5003" w:hanging="245"/>
      </w:pPr>
      <w:rPr>
        <w:rFonts w:hint="default"/>
        <w:lang w:val="zh-CN" w:eastAsia="zh-CN" w:bidi="zh-CN"/>
      </w:rPr>
    </w:lvl>
    <w:lvl w:ilvl="6" w:tentative="0">
      <w:start w:val="0"/>
      <w:numFmt w:val="bullet"/>
      <w:lvlText w:val="•"/>
      <w:lvlJc w:val="left"/>
      <w:pPr>
        <w:ind w:left="5887" w:hanging="245"/>
      </w:pPr>
      <w:rPr>
        <w:rFonts w:hint="default"/>
        <w:lang w:val="zh-CN" w:eastAsia="zh-CN" w:bidi="zh-CN"/>
      </w:rPr>
    </w:lvl>
    <w:lvl w:ilvl="7" w:tentative="0">
      <w:start w:val="0"/>
      <w:numFmt w:val="bullet"/>
      <w:lvlText w:val="•"/>
      <w:lvlJc w:val="left"/>
      <w:pPr>
        <w:ind w:left="6772" w:hanging="245"/>
      </w:pPr>
      <w:rPr>
        <w:rFonts w:hint="default"/>
        <w:lang w:val="zh-CN" w:eastAsia="zh-CN" w:bidi="zh-CN"/>
      </w:rPr>
    </w:lvl>
    <w:lvl w:ilvl="8" w:tentative="0">
      <w:start w:val="0"/>
      <w:numFmt w:val="bullet"/>
      <w:lvlText w:val="•"/>
      <w:lvlJc w:val="left"/>
      <w:pPr>
        <w:ind w:left="7657" w:hanging="245"/>
      </w:pPr>
      <w:rPr>
        <w:rFonts w:hint="default"/>
        <w:lang w:val="zh-CN" w:eastAsia="zh-CN" w:bidi="zh-CN"/>
      </w:rPr>
    </w:lvl>
  </w:abstractNum>
  <w:abstractNum w:abstractNumId="12">
    <w:nsid w:val="3964711F"/>
    <w:multiLevelType w:val="multilevel"/>
    <w:tmpl w:val="3964711F"/>
    <w:lvl w:ilvl="0" w:tentative="0">
      <w:start w:val="15"/>
      <w:numFmt w:val="decimal"/>
      <w:lvlText w:val="%1."/>
      <w:lvlJc w:val="left"/>
      <w:pPr>
        <w:ind w:left="137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1532" w:hanging="524"/>
      </w:pPr>
      <w:rPr>
        <w:rFonts w:hint="default" w:ascii="宋体" w:hAnsi="宋体" w:eastAsia="宋体" w:cs="宋体"/>
        <w:b w:val="0"/>
        <w:w w:val="100"/>
        <w:sz w:val="24"/>
        <w:szCs w:val="24"/>
        <w:lang w:val="zh-CN" w:eastAsia="zh-CN" w:bidi="zh-CN"/>
      </w:rPr>
    </w:lvl>
    <w:lvl w:ilvl="2" w:tentative="0">
      <w:start w:val="0"/>
      <w:numFmt w:val="bullet"/>
      <w:lvlText w:val="•"/>
      <w:lvlJc w:val="left"/>
      <w:pPr>
        <w:ind w:left="2416" w:hanging="524"/>
      </w:pPr>
      <w:rPr>
        <w:rFonts w:hint="default"/>
        <w:lang w:val="zh-CN" w:eastAsia="zh-CN" w:bidi="zh-CN"/>
      </w:rPr>
    </w:lvl>
    <w:lvl w:ilvl="3" w:tentative="0">
      <w:start w:val="0"/>
      <w:numFmt w:val="bullet"/>
      <w:lvlText w:val="•"/>
      <w:lvlJc w:val="left"/>
      <w:pPr>
        <w:ind w:left="3292" w:hanging="524"/>
      </w:pPr>
      <w:rPr>
        <w:rFonts w:hint="default"/>
        <w:lang w:val="zh-CN" w:eastAsia="zh-CN" w:bidi="zh-CN"/>
      </w:rPr>
    </w:lvl>
    <w:lvl w:ilvl="4" w:tentative="0">
      <w:start w:val="0"/>
      <w:numFmt w:val="bullet"/>
      <w:lvlText w:val="•"/>
      <w:lvlJc w:val="left"/>
      <w:pPr>
        <w:ind w:left="4168" w:hanging="524"/>
      </w:pPr>
      <w:rPr>
        <w:rFonts w:hint="default"/>
        <w:lang w:val="zh-CN" w:eastAsia="zh-CN" w:bidi="zh-CN"/>
      </w:rPr>
    </w:lvl>
    <w:lvl w:ilvl="5" w:tentative="0">
      <w:start w:val="0"/>
      <w:numFmt w:val="bullet"/>
      <w:lvlText w:val="•"/>
      <w:lvlJc w:val="left"/>
      <w:pPr>
        <w:ind w:left="5045" w:hanging="524"/>
      </w:pPr>
      <w:rPr>
        <w:rFonts w:hint="default"/>
        <w:lang w:val="zh-CN" w:eastAsia="zh-CN" w:bidi="zh-CN"/>
      </w:rPr>
    </w:lvl>
    <w:lvl w:ilvl="6" w:tentative="0">
      <w:start w:val="0"/>
      <w:numFmt w:val="bullet"/>
      <w:lvlText w:val="•"/>
      <w:lvlJc w:val="left"/>
      <w:pPr>
        <w:ind w:left="5921" w:hanging="524"/>
      </w:pPr>
      <w:rPr>
        <w:rFonts w:hint="default"/>
        <w:lang w:val="zh-CN" w:eastAsia="zh-CN" w:bidi="zh-CN"/>
      </w:rPr>
    </w:lvl>
    <w:lvl w:ilvl="7" w:tentative="0">
      <w:start w:val="0"/>
      <w:numFmt w:val="bullet"/>
      <w:lvlText w:val="•"/>
      <w:lvlJc w:val="left"/>
      <w:pPr>
        <w:ind w:left="6797" w:hanging="524"/>
      </w:pPr>
      <w:rPr>
        <w:rFonts w:hint="default"/>
        <w:lang w:val="zh-CN" w:eastAsia="zh-CN" w:bidi="zh-CN"/>
      </w:rPr>
    </w:lvl>
    <w:lvl w:ilvl="8" w:tentative="0">
      <w:start w:val="0"/>
      <w:numFmt w:val="bullet"/>
      <w:lvlText w:val="•"/>
      <w:lvlJc w:val="left"/>
      <w:pPr>
        <w:ind w:left="7673" w:hanging="524"/>
      </w:pPr>
      <w:rPr>
        <w:rFonts w:hint="default"/>
        <w:lang w:val="zh-CN" w:eastAsia="zh-CN" w:bidi="zh-CN"/>
      </w:rPr>
    </w:lvl>
  </w:abstractNum>
  <w:abstractNum w:abstractNumId="13">
    <w:nsid w:val="3E5B6521"/>
    <w:multiLevelType w:val="multilevel"/>
    <w:tmpl w:val="3E5B6521"/>
    <w:lvl w:ilvl="0" w:tentative="0">
      <w:start w:val="9"/>
      <w:numFmt w:val="decimal"/>
      <w:lvlText w:val="%1."/>
      <w:lvlJc w:val="left"/>
      <w:pPr>
        <w:ind w:left="1255" w:hanging="244"/>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574" w:hanging="420"/>
      </w:pPr>
      <w:rPr>
        <w:rFonts w:hint="default" w:ascii="宋体" w:hAnsi="宋体" w:eastAsia="宋体" w:cs="宋体"/>
        <w:w w:val="100"/>
        <w:sz w:val="24"/>
        <w:szCs w:val="24"/>
        <w:lang w:val="zh-CN" w:eastAsia="zh-CN" w:bidi="zh-CN"/>
      </w:rPr>
    </w:lvl>
    <w:lvl w:ilvl="2" w:tentative="0">
      <w:start w:val="0"/>
      <w:numFmt w:val="bullet"/>
      <w:lvlText w:val="•"/>
      <w:lvlJc w:val="left"/>
      <w:pPr>
        <w:ind w:left="2167" w:hanging="420"/>
      </w:pPr>
      <w:rPr>
        <w:rFonts w:hint="default"/>
        <w:lang w:val="zh-CN" w:eastAsia="zh-CN" w:bidi="zh-CN"/>
      </w:rPr>
    </w:lvl>
    <w:lvl w:ilvl="3" w:tentative="0">
      <w:start w:val="0"/>
      <w:numFmt w:val="bullet"/>
      <w:lvlText w:val="•"/>
      <w:lvlJc w:val="left"/>
      <w:pPr>
        <w:ind w:left="3074" w:hanging="420"/>
      </w:pPr>
      <w:rPr>
        <w:rFonts w:hint="default"/>
        <w:lang w:val="zh-CN" w:eastAsia="zh-CN" w:bidi="zh-CN"/>
      </w:rPr>
    </w:lvl>
    <w:lvl w:ilvl="4" w:tentative="0">
      <w:start w:val="0"/>
      <w:numFmt w:val="bullet"/>
      <w:lvlText w:val="•"/>
      <w:lvlJc w:val="left"/>
      <w:pPr>
        <w:ind w:left="3982" w:hanging="420"/>
      </w:pPr>
      <w:rPr>
        <w:rFonts w:hint="default"/>
        <w:lang w:val="zh-CN" w:eastAsia="zh-CN" w:bidi="zh-CN"/>
      </w:rPr>
    </w:lvl>
    <w:lvl w:ilvl="5" w:tentative="0">
      <w:start w:val="0"/>
      <w:numFmt w:val="bullet"/>
      <w:lvlText w:val="•"/>
      <w:lvlJc w:val="left"/>
      <w:pPr>
        <w:ind w:left="4889" w:hanging="420"/>
      </w:pPr>
      <w:rPr>
        <w:rFonts w:hint="default"/>
        <w:lang w:val="zh-CN" w:eastAsia="zh-CN" w:bidi="zh-CN"/>
      </w:rPr>
    </w:lvl>
    <w:lvl w:ilvl="6" w:tentative="0">
      <w:start w:val="0"/>
      <w:numFmt w:val="bullet"/>
      <w:lvlText w:val="•"/>
      <w:lvlJc w:val="left"/>
      <w:pPr>
        <w:ind w:left="5796" w:hanging="420"/>
      </w:pPr>
      <w:rPr>
        <w:rFonts w:hint="default"/>
        <w:lang w:val="zh-CN" w:eastAsia="zh-CN" w:bidi="zh-CN"/>
      </w:rPr>
    </w:lvl>
    <w:lvl w:ilvl="7" w:tentative="0">
      <w:start w:val="0"/>
      <w:numFmt w:val="bullet"/>
      <w:lvlText w:val="•"/>
      <w:lvlJc w:val="left"/>
      <w:pPr>
        <w:ind w:left="6704" w:hanging="420"/>
      </w:pPr>
      <w:rPr>
        <w:rFonts w:hint="default"/>
        <w:lang w:val="zh-CN" w:eastAsia="zh-CN" w:bidi="zh-CN"/>
      </w:rPr>
    </w:lvl>
    <w:lvl w:ilvl="8" w:tentative="0">
      <w:start w:val="0"/>
      <w:numFmt w:val="bullet"/>
      <w:lvlText w:val="•"/>
      <w:lvlJc w:val="left"/>
      <w:pPr>
        <w:ind w:left="7611" w:hanging="420"/>
      </w:pPr>
      <w:rPr>
        <w:rFonts w:hint="default"/>
        <w:lang w:val="zh-CN" w:eastAsia="zh-CN" w:bidi="zh-CN"/>
      </w:rPr>
    </w:lvl>
  </w:abstractNum>
  <w:abstractNum w:abstractNumId="14">
    <w:nsid w:val="4CC60BF9"/>
    <w:multiLevelType w:val="multilevel"/>
    <w:tmpl w:val="4CC60BF9"/>
    <w:lvl w:ilvl="0" w:tentative="0">
      <w:start w:val="1"/>
      <w:numFmt w:val="decimal"/>
      <w:lvlText w:val="（%1）"/>
      <w:lvlJc w:val="left"/>
      <w:pPr>
        <w:ind w:left="1610" w:hanging="601"/>
      </w:pPr>
      <w:rPr>
        <w:rFonts w:hint="eastAsia" w:ascii="宋体" w:hAnsi="宋体" w:eastAsia="宋体" w:cs="宋体"/>
        <w:b w:val="0"/>
        <w:i w:val="0"/>
        <w:w w:val="100"/>
        <w:sz w:val="22"/>
        <w:szCs w:val="22"/>
        <w:lang w:val="zh-CN" w:eastAsia="zh-CN" w:bidi="zh-CN"/>
      </w:rPr>
    </w:lvl>
    <w:lvl w:ilvl="1" w:tentative="0">
      <w:start w:val="0"/>
      <w:numFmt w:val="bullet"/>
      <w:lvlText w:val="•"/>
      <w:lvlJc w:val="left"/>
      <w:pPr>
        <w:ind w:left="2400" w:hanging="601"/>
      </w:pPr>
      <w:rPr>
        <w:rFonts w:hint="default"/>
        <w:lang w:val="zh-CN" w:eastAsia="zh-CN" w:bidi="zh-CN"/>
      </w:rPr>
    </w:lvl>
    <w:lvl w:ilvl="2" w:tentative="0">
      <w:start w:val="0"/>
      <w:numFmt w:val="bullet"/>
      <w:lvlText w:val="•"/>
      <w:lvlJc w:val="left"/>
      <w:pPr>
        <w:ind w:left="3181" w:hanging="601"/>
      </w:pPr>
      <w:rPr>
        <w:rFonts w:hint="default"/>
        <w:lang w:val="zh-CN" w:eastAsia="zh-CN" w:bidi="zh-CN"/>
      </w:rPr>
    </w:lvl>
    <w:lvl w:ilvl="3" w:tentative="0">
      <w:start w:val="0"/>
      <w:numFmt w:val="bullet"/>
      <w:lvlText w:val="•"/>
      <w:lvlJc w:val="left"/>
      <w:pPr>
        <w:ind w:left="3961" w:hanging="601"/>
      </w:pPr>
      <w:rPr>
        <w:rFonts w:hint="default"/>
        <w:lang w:val="zh-CN" w:eastAsia="zh-CN" w:bidi="zh-CN"/>
      </w:rPr>
    </w:lvl>
    <w:lvl w:ilvl="4" w:tentative="0">
      <w:start w:val="0"/>
      <w:numFmt w:val="bullet"/>
      <w:lvlText w:val="•"/>
      <w:lvlJc w:val="left"/>
      <w:pPr>
        <w:ind w:left="4742" w:hanging="601"/>
      </w:pPr>
      <w:rPr>
        <w:rFonts w:hint="default"/>
        <w:lang w:val="zh-CN" w:eastAsia="zh-CN" w:bidi="zh-CN"/>
      </w:rPr>
    </w:lvl>
    <w:lvl w:ilvl="5" w:tentative="0">
      <w:start w:val="0"/>
      <w:numFmt w:val="bullet"/>
      <w:lvlText w:val="•"/>
      <w:lvlJc w:val="left"/>
      <w:pPr>
        <w:ind w:left="5523" w:hanging="601"/>
      </w:pPr>
      <w:rPr>
        <w:rFonts w:hint="default"/>
        <w:lang w:val="zh-CN" w:eastAsia="zh-CN" w:bidi="zh-CN"/>
      </w:rPr>
    </w:lvl>
    <w:lvl w:ilvl="6" w:tentative="0">
      <w:start w:val="0"/>
      <w:numFmt w:val="bullet"/>
      <w:lvlText w:val="•"/>
      <w:lvlJc w:val="left"/>
      <w:pPr>
        <w:ind w:left="6303" w:hanging="601"/>
      </w:pPr>
      <w:rPr>
        <w:rFonts w:hint="default"/>
        <w:lang w:val="zh-CN" w:eastAsia="zh-CN" w:bidi="zh-CN"/>
      </w:rPr>
    </w:lvl>
    <w:lvl w:ilvl="7" w:tentative="0">
      <w:start w:val="0"/>
      <w:numFmt w:val="bullet"/>
      <w:lvlText w:val="•"/>
      <w:lvlJc w:val="left"/>
      <w:pPr>
        <w:ind w:left="7084" w:hanging="601"/>
      </w:pPr>
      <w:rPr>
        <w:rFonts w:hint="default"/>
        <w:lang w:val="zh-CN" w:eastAsia="zh-CN" w:bidi="zh-CN"/>
      </w:rPr>
    </w:lvl>
    <w:lvl w:ilvl="8" w:tentative="0">
      <w:start w:val="0"/>
      <w:numFmt w:val="bullet"/>
      <w:lvlText w:val="•"/>
      <w:lvlJc w:val="left"/>
      <w:pPr>
        <w:ind w:left="7865" w:hanging="601"/>
      </w:pPr>
      <w:rPr>
        <w:rFonts w:hint="default"/>
        <w:lang w:val="zh-CN" w:eastAsia="zh-CN" w:bidi="zh-CN"/>
      </w:rPr>
    </w:lvl>
  </w:abstractNum>
  <w:abstractNum w:abstractNumId="15">
    <w:nsid w:val="4E567FF0"/>
    <w:multiLevelType w:val="multilevel"/>
    <w:tmpl w:val="4E567FF0"/>
    <w:lvl w:ilvl="0" w:tentative="0">
      <w:start w:val="21"/>
      <w:numFmt w:val="decimal"/>
      <w:lvlText w:val="%1"/>
      <w:lvlJc w:val="left"/>
      <w:pPr>
        <w:ind w:left="574" w:hanging="600"/>
      </w:pPr>
      <w:rPr>
        <w:rFonts w:hint="default"/>
        <w:lang w:val="zh-CN" w:eastAsia="zh-CN" w:bidi="zh-CN"/>
      </w:rPr>
    </w:lvl>
    <w:lvl w:ilvl="1" w:tentative="0">
      <w:start w:val="1"/>
      <w:numFmt w:val="decimal"/>
      <w:lvlText w:val="%1.%2"/>
      <w:lvlJc w:val="left"/>
      <w:pPr>
        <w:ind w:left="574" w:hanging="600"/>
      </w:pPr>
      <w:rPr>
        <w:rFonts w:hint="default" w:ascii="宋体" w:hAnsi="宋体" w:eastAsia="宋体" w:cs="宋体"/>
        <w:spacing w:val="-16"/>
        <w:w w:val="100"/>
        <w:sz w:val="24"/>
        <w:szCs w:val="24"/>
        <w:lang w:val="zh-CN" w:eastAsia="zh-CN" w:bidi="zh-CN"/>
      </w:rPr>
    </w:lvl>
    <w:lvl w:ilvl="2" w:tentative="0">
      <w:start w:val="0"/>
      <w:numFmt w:val="bullet"/>
      <w:lvlText w:val="•"/>
      <w:lvlJc w:val="left"/>
      <w:pPr>
        <w:ind w:left="2349" w:hanging="600"/>
      </w:pPr>
      <w:rPr>
        <w:rFonts w:hint="default"/>
        <w:lang w:val="zh-CN" w:eastAsia="zh-CN" w:bidi="zh-CN"/>
      </w:rPr>
    </w:lvl>
    <w:lvl w:ilvl="3" w:tentative="0">
      <w:start w:val="0"/>
      <w:numFmt w:val="bullet"/>
      <w:lvlText w:val="•"/>
      <w:lvlJc w:val="left"/>
      <w:pPr>
        <w:ind w:left="3233" w:hanging="600"/>
      </w:pPr>
      <w:rPr>
        <w:rFonts w:hint="default"/>
        <w:lang w:val="zh-CN" w:eastAsia="zh-CN" w:bidi="zh-CN"/>
      </w:rPr>
    </w:lvl>
    <w:lvl w:ilvl="4" w:tentative="0">
      <w:start w:val="0"/>
      <w:numFmt w:val="bullet"/>
      <w:lvlText w:val="•"/>
      <w:lvlJc w:val="left"/>
      <w:pPr>
        <w:ind w:left="4118" w:hanging="600"/>
      </w:pPr>
      <w:rPr>
        <w:rFonts w:hint="default"/>
        <w:lang w:val="zh-CN" w:eastAsia="zh-CN" w:bidi="zh-CN"/>
      </w:rPr>
    </w:lvl>
    <w:lvl w:ilvl="5" w:tentative="0">
      <w:start w:val="0"/>
      <w:numFmt w:val="bullet"/>
      <w:lvlText w:val="•"/>
      <w:lvlJc w:val="left"/>
      <w:pPr>
        <w:ind w:left="5003" w:hanging="600"/>
      </w:pPr>
      <w:rPr>
        <w:rFonts w:hint="default"/>
        <w:lang w:val="zh-CN" w:eastAsia="zh-CN" w:bidi="zh-CN"/>
      </w:rPr>
    </w:lvl>
    <w:lvl w:ilvl="6" w:tentative="0">
      <w:start w:val="0"/>
      <w:numFmt w:val="bullet"/>
      <w:lvlText w:val="•"/>
      <w:lvlJc w:val="left"/>
      <w:pPr>
        <w:ind w:left="5887" w:hanging="600"/>
      </w:pPr>
      <w:rPr>
        <w:rFonts w:hint="default"/>
        <w:lang w:val="zh-CN" w:eastAsia="zh-CN" w:bidi="zh-CN"/>
      </w:rPr>
    </w:lvl>
    <w:lvl w:ilvl="7" w:tentative="0">
      <w:start w:val="0"/>
      <w:numFmt w:val="bullet"/>
      <w:lvlText w:val="•"/>
      <w:lvlJc w:val="left"/>
      <w:pPr>
        <w:ind w:left="6772" w:hanging="600"/>
      </w:pPr>
      <w:rPr>
        <w:rFonts w:hint="default"/>
        <w:lang w:val="zh-CN" w:eastAsia="zh-CN" w:bidi="zh-CN"/>
      </w:rPr>
    </w:lvl>
    <w:lvl w:ilvl="8" w:tentative="0">
      <w:start w:val="0"/>
      <w:numFmt w:val="bullet"/>
      <w:lvlText w:val="•"/>
      <w:lvlJc w:val="left"/>
      <w:pPr>
        <w:ind w:left="7657" w:hanging="600"/>
      </w:pPr>
      <w:rPr>
        <w:rFonts w:hint="default"/>
        <w:lang w:val="zh-CN" w:eastAsia="zh-CN" w:bidi="zh-CN"/>
      </w:rPr>
    </w:lvl>
  </w:abstractNum>
  <w:abstractNum w:abstractNumId="16">
    <w:nsid w:val="50093A6D"/>
    <w:multiLevelType w:val="multilevel"/>
    <w:tmpl w:val="50093A6D"/>
    <w:lvl w:ilvl="0" w:tentative="0">
      <w:start w:val="3"/>
      <w:numFmt w:val="decimal"/>
      <w:lvlText w:val="%1."/>
      <w:lvlJc w:val="left"/>
      <w:pPr>
        <w:ind w:left="1255" w:hanging="244"/>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574" w:hanging="420"/>
      </w:pPr>
      <w:rPr>
        <w:rFonts w:hint="default" w:ascii="宋体" w:hAnsi="宋体" w:eastAsia="宋体" w:cs="宋体"/>
        <w:w w:val="100"/>
        <w:sz w:val="24"/>
        <w:szCs w:val="24"/>
        <w:lang w:val="zh-CN" w:eastAsia="zh-CN" w:bidi="zh-CN"/>
      </w:rPr>
    </w:lvl>
    <w:lvl w:ilvl="2" w:tentative="0">
      <w:start w:val="1"/>
      <w:numFmt w:val="decimal"/>
      <w:lvlText w:val="%1.%2.%3"/>
      <w:lvlJc w:val="left"/>
      <w:pPr>
        <w:ind w:left="574" w:hanging="660"/>
      </w:pPr>
      <w:rPr>
        <w:rFonts w:hint="default" w:ascii="宋体" w:hAnsi="宋体" w:eastAsia="宋体" w:cs="宋体"/>
        <w:w w:val="100"/>
        <w:sz w:val="24"/>
        <w:szCs w:val="24"/>
        <w:lang w:val="zh-CN" w:eastAsia="zh-CN" w:bidi="zh-CN"/>
      </w:rPr>
    </w:lvl>
    <w:lvl w:ilvl="3" w:tentative="0">
      <w:start w:val="0"/>
      <w:numFmt w:val="bullet"/>
      <w:lvlText w:val="•"/>
      <w:lvlJc w:val="left"/>
      <w:pPr>
        <w:ind w:left="1660" w:hanging="660"/>
      </w:pPr>
      <w:rPr>
        <w:rFonts w:hint="default"/>
        <w:lang w:val="zh-CN" w:eastAsia="zh-CN" w:bidi="zh-CN"/>
      </w:rPr>
    </w:lvl>
    <w:lvl w:ilvl="4" w:tentative="0">
      <w:start w:val="0"/>
      <w:numFmt w:val="bullet"/>
      <w:lvlText w:val="•"/>
      <w:lvlJc w:val="left"/>
      <w:pPr>
        <w:ind w:left="2769" w:hanging="660"/>
      </w:pPr>
      <w:rPr>
        <w:rFonts w:hint="default"/>
        <w:lang w:val="zh-CN" w:eastAsia="zh-CN" w:bidi="zh-CN"/>
      </w:rPr>
    </w:lvl>
    <w:lvl w:ilvl="5" w:tentative="0">
      <w:start w:val="0"/>
      <w:numFmt w:val="bullet"/>
      <w:lvlText w:val="•"/>
      <w:lvlJc w:val="left"/>
      <w:pPr>
        <w:ind w:left="3878" w:hanging="660"/>
      </w:pPr>
      <w:rPr>
        <w:rFonts w:hint="default"/>
        <w:lang w:val="zh-CN" w:eastAsia="zh-CN" w:bidi="zh-CN"/>
      </w:rPr>
    </w:lvl>
    <w:lvl w:ilvl="6" w:tentative="0">
      <w:start w:val="0"/>
      <w:numFmt w:val="bullet"/>
      <w:lvlText w:val="•"/>
      <w:lvlJc w:val="left"/>
      <w:pPr>
        <w:ind w:left="4988" w:hanging="660"/>
      </w:pPr>
      <w:rPr>
        <w:rFonts w:hint="default"/>
        <w:lang w:val="zh-CN" w:eastAsia="zh-CN" w:bidi="zh-CN"/>
      </w:rPr>
    </w:lvl>
    <w:lvl w:ilvl="7" w:tentative="0">
      <w:start w:val="0"/>
      <w:numFmt w:val="bullet"/>
      <w:lvlText w:val="•"/>
      <w:lvlJc w:val="left"/>
      <w:pPr>
        <w:ind w:left="6097" w:hanging="660"/>
      </w:pPr>
      <w:rPr>
        <w:rFonts w:hint="default"/>
        <w:lang w:val="zh-CN" w:eastAsia="zh-CN" w:bidi="zh-CN"/>
      </w:rPr>
    </w:lvl>
    <w:lvl w:ilvl="8" w:tentative="0">
      <w:start w:val="0"/>
      <w:numFmt w:val="bullet"/>
      <w:lvlText w:val="•"/>
      <w:lvlJc w:val="left"/>
      <w:pPr>
        <w:ind w:left="7207" w:hanging="660"/>
      </w:pPr>
      <w:rPr>
        <w:rFonts w:hint="default"/>
        <w:lang w:val="zh-CN" w:eastAsia="zh-CN" w:bidi="zh-CN"/>
      </w:rPr>
    </w:lvl>
  </w:abstractNum>
  <w:abstractNum w:abstractNumId="17">
    <w:nsid w:val="52056373"/>
    <w:multiLevelType w:val="multilevel"/>
    <w:tmpl w:val="52056373"/>
    <w:lvl w:ilvl="0" w:tentative="0">
      <w:start w:val="1"/>
      <w:numFmt w:val="decimal"/>
      <w:lvlText w:val="%1."/>
      <w:lvlJc w:val="left"/>
      <w:pPr>
        <w:ind w:left="1235" w:hanging="241"/>
      </w:pPr>
      <w:rPr>
        <w:rFonts w:hint="default" w:ascii="宋体" w:hAnsi="宋体" w:eastAsia="宋体" w:cs="宋体"/>
        <w:w w:val="100"/>
        <w:sz w:val="22"/>
        <w:szCs w:val="22"/>
        <w:lang w:val="zh-CN" w:eastAsia="zh-CN" w:bidi="zh-CN"/>
      </w:rPr>
    </w:lvl>
    <w:lvl w:ilvl="1" w:tentative="0">
      <w:start w:val="0"/>
      <w:numFmt w:val="bullet"/>
      <w:lvlText w:val="•"/>
      <w:lvlJc w:val="left"/>
      <w:pPr>
        <w:ind w:left="2058" w:hanging="241"/>
      </w:pPr>
      <w:rPr>
        <w:rFonts w:hint="default"/>
        <w:lang w:val="zh-CN" w:eastAsia="zh-CN" w:bidi="zh-CN"/>
      </w:rPr>
    </w:lvl>
    <w:lvl w:ilvl="2" w:tentative="0">
      <w:start w:val="0"/>
      <w:numFmt w:val="bullet"/>
      <w:lvlText w:val="•"/>
      <w:lvlJc w:val="left"/>
      <w:pPr>
        <w:ind w:left="2877" w:hanging="241"/>
      </w:pPr>
      <w:rPr>
        <w:rFonts w:hint="default"/>
        <w:lang w:val="zh-CN" w:eastAsia="zh-CN" w:bidi="zh-CN"/>
      </w:rPr>
    </w:lvl>
    <w:lvl w:ilvl="3" w:tentative="0">
      <w:start w:val="0"/>
      <w:numFmt w:val="bullet"/>
      <w:lvlText w:val="•"/>
      <w:lvlJc w:val="left"/>
      <w:pPr>
        <w:ind w:left="3695" w:hanging="241"/>
      </w:pPr>
      <w:rPr>
        <w:rFonts w:hint="default"/>
        <w:lang w:val="zh-CN" w:eastAsia="zh-CN" w:bidi="zh-CN"/>
      </w:rPr>
    </w:lvl>
    <w:lvl w:ilvl="4" w:tentative="0">
      <w:start w:val="0"/>
      <w:numFmt w:val="bullet"/>
      <w:lvlText w:val="•"/>
      <w:lvlJc w:val="left"/>
      <w:pPr>
        <w:ind w:left="4514" w:hanging="241"/>
      </w:pPr>
      <w:rPr>
        <w:rFonts w:hint="default"/>
        <w:lang w:val="zh-CN" w:eastAsia="zh-CN" w:bidi="zh-CN"/>
      </w:rPr>
    </w:lvl>
    <w:lvl w:ilvl="5" w:tentative="0">
      <w:start w:val="0"/>
      <w:numFmt w:val="bullet"/>
      <w:lvlText w:val="•"/>
      <w:lvlJc w:val="left"/>
      <w:pPr>
        <w:ind w:left="5333" w:hanging="241"/>
      </w:pPr>
      <w:rPr>
        <w:rFonts w:hint="default"/>
        <w:lang w:val="zh-CN" w:eastAsia="zh-CN" w:bidi="zh-CN"/>
      </w:rPr>
    </w:lvl>
    <w:lvl w:ilvl="6" w:tentative="0">
      <w:start w:val="0"/>
      <w:numFmt w:val="bullet"/>
      <w:lvlText w:val="•"/>
      <w:lvlJc w:val="left"/>
      <w:pPr>
        <w:ind w:left="6151" w:hanging="241"/>
      </w:pPr>
      <w:rPr>
        <w:rFonts w:hint="default"/>
        <w:lang w:val="zh-CN" w:eastAsia="zh-CN" w:bidi="zh-CN"/>
      </w:rPr>
    </w:lvl>
    <w:lvl w:ilvl="7" w:tentative="0">
      <w:start w:val="0"/>
      <w:numFmt w:val="bullet"/>
      <w:lvlText w:val="•"/>
      <w:lvlJc w:val="left"/>
      <w:pPr>
        <w:ind w:left="6970" w:hanging="241"/>
      </w:pPr>
      <w:rPr>
        <w:rFonts w:hint="default"/>
        <w:lang w:val="zh-CN" w:eastAsia="zh-CN" w:bidi="zh-CN"/>
      </w:rPr>
    </w:lvl>
    <w:lvl w:ilvl="8" w:tentative="0">
      <w:start w:val="0"/>
      <w:numFmt w:val="bullet"/>
      <w:lvlText w:val="•"/>
      <w:lvlJc w:val="left"/>
      <w:pPr>
        <w:ind w:left="7789" w:hanging="241"/>
      </w:pPr>
      <w:rPr>
        <w:rFonts w:hint="default"/>
        <w:lang w:val="zh-CN" w:eastAsia="zh-CN" w:bidi="zh-CN"/>
      </w:rPr>
    </w:lvl>
  </w:abstractNum>
  <w:abstractNum w:abstractNumId="18">
    <w:nsid w:val="5336024C"/>
    <w:multiLevelType w:val="multilevel"/>
    <w:tmpl w:val="5336024C"/>
    <w:lvl w:ilvl="0" w:tentative="0">
      <w:start w:val="2"/>
      <w:numFmt w:val="decimal"/>
      <w:lvlText w:val="%1"/>
      <w:lvlJc w:val="left"/>
      <w:pPr>
        <w:ind w:left="1429" w:hanging="420"/>
      </w:pPr>
      <w:rPr>
        <w:rFonts w:hint="default"/>
        <w:lang w:val="zh-CN" w:eastAsia="zh-CN" w:bidi="zh-CN"/>
      </w:rPr>
    </w:lvl>
    <w:lvl w:ilvl="1" w:tentative="0">
      <w:start w:val="1"/>
      <w:numFmt w:val="decimal"/>
      <w:lvlText w:val="%1.%2"/>
      <w:lvlJc w:val="left"/>
      <w:pPr>
        <w:ind w:left="1429" w:hanging="420"/>
      </w:pPr>
      <w:rPr>
        <w:rFonts w:hint="default" w:ascii="宋体" w:hAnsi="宋体" w:eastAsia="宋体" w:cs="宋体"/>
        <w:w w:val="100"/>
        <w:sz w:val="24"/>
        <w:szCs w:val="24"/>
        <w:lang w:val="zh-CN" w:eastAsia="zh-CN" w:bidi="zh-CN"/>
      </w:rPr>
    </w:lvl>
    <w:lvl w:ilvl="2" w:tentative="0">
      <w:start w:val="0"/>
      <w:numFmt w:val="bullet"/>
      <w:lvlText w:val="•"/>
      <w:lvlJc w:val="left"/>
      <w:pPr>
        <w:ind w:left="3021" w:hanging="420"/>
      </w:pPr>
      <w:rPr>
        <w:rFonts w:hint="default"/>
        <w:lang w:val="zh-CN" w:eastAsia="zh-CN" w:bidi="zh-CN"/>
      </w:rPr>
    </w:lvl>
    <w:lvl w:ilvl="3" w:tentative="0">
      <w:start w:val="0"/>
      <w:numFmt w:val="bullet"/>
      <w:lvlText w:val="•"/>
      <w:lvlJc w:val="left"/>
      <w:pPr>
        <w:ind w:left="3821" w:hanging="420"/>
      </w:pPr>
      <w:rPr>
        <w:rFonts w:hint="default"/>
        <w:lang w:val="zh-CN" w:eastAsia="zh-CN" w:bidi="zh-CN"/>
      </w:rPr>
    </w:lvl>
    <w:lvl w:ilvl="4" w:tentative="0">
      <w:start w:val="0"/>
      <w:numFmt w:val="bullet"/>
      <w:lvlText w:val="•"/>
      <w:lvlJc w:val="left"/>
      <w:pPr>
        <w:ind w:left="4622" w:hanging="420"/>
      </w:pPr>
      <w:rPr>
        <w:rFonts w:hint="default"/>
        <w:lang w:val="zh-CN" w:eastAsia="zh-CN" w:bidi="zh-CN"/>
      </w:rPr>
    </w:lvl>
    <w:lvl w:ilvl="5" w:tentative="0">
      <w:start w:val="0"/>
      <w:numFmt w:val="bullet"/>
      <w:lvlText w:val="•"/>
      <w:lvlJc w:val="left"/>
      <w:pPr>
        <w:ind w:left="5423" w:hanging="420"/>
      </w:pPr>
      <w:rPr>
        <w:rFonts w:hint="default"/>
        <w:lang w:val="zh-CN" w:eastAsia="zh-CN" w:bidi="zh-CN"/>
      </w:rPr>
    </w:lvl>
    <w:lvl w:ilvl="6" w:tentative="0">
      <w:start w:val="0"/>
      <w:numFmt w:val="bullet"/>
      <w:lvlText w:val="•"/>
      <w:lvlJc w:val="left"/>
      <w:pPr>
        <w:ind w:left="6223" w:hanging="420"/>
      </w:pPr>
      <w:rPr>
        <w:rFonts w:hint="default"/>
        <w:lang w:val="zh-CN" w:eastAsia="zh-CN" w:bidi="zh-CN"/>
      </w:rPr>
    </w:lvl>
    <w:lvl w:ilvl="7" w:tentative="0">
      <w:start w:val="0"/>
      <w:numFmt w:val="bullet"/>
      <w:lvlText w:val="•"/>
      <w:lvlJc w:val="left"/>
      <w:pPr>
        <w:ind w:left="7024" w:hanging="420"/>
      </w:pPr>
      <w:rPr>
        <w:rFonts w:hint="default"/>
        <w:lang w:val="zh-CN" w:eastAsia="zh-CN" w:bidi="zh-CN"/>
      </w:rPr>
    </w:lvl>
    <w:lvl w:ilvl="8" w:tentative="0">
      <w:start w:val="0"/>
      <w:numFmt w:val="bullet"/>
      <w:lvlText w:val="•"/>
      <w:lvlJc w:val="left"/>
      <w:pPr>
        <w:ind w:left="7825" w:hanging="420"/>
      </w:pPr>
      <w:rPr>
        <w:rFonts w:hint="default"/>
        <w:lang w:val="zh-CN" w:eastAsia="zh-CN" w:bidi="zh-CN"/>
      </w:rPr>
    </w:lvl>
  </w:abstractNum>
  <w:abstractNum w:abstractNumId="19">
    <w:nsid w:val="5A0828AA"/>
    <w:multiLevelType w:val="multilevel"/>
    <w:tmpl w:val="5A0828AA"/>
    <w:lvl w:ilvl="0" w:tentative="0">
      <w:start w:val="6"/>
      <w:numFmt w:val="decimal"/>
      <w:lvlText w:val="%1"/>
      <w:lvlJc w:val="left"/>
      <w:pPr>
        <w:ind w:left="1419" w:hanging="425"/>
      </w:pPr>
      <w:rPr>
        <w:rFonts w:hint="default"/>
        <w:lang w:val="zh-CN" w:eastAsia="zh-CN" w:bidi="zh-CN"/>
      </w:rPr>
    </w:lvl>
    <w:lvl w:ilvl="1" w:tentative="0">
      <w:start w:val="1"/>
      <w:numFmt w:val="decimal"/>
      <w:lvlText w:val="%1.%2"/>
      <w:lvlJc w:val="left"/>
      <w:pPr>
        <w:ind w:left="1419" w:hanging="425"/>
      </w:pPr>
      <w:rPr>
        <w:rFonts w:hint="default" w:ascii="宋体" w:hAnsi="宋体" w:eastAsia="宋体" w:cs="宋体"/>
        <w:b/>
        <w:bCs/>
        <w:spacing w:val="0"/>
        <w:w w:val="99"/>
        <w:sz w:val="24"/>
        <w:szCs w:val="24"/>
        <w:lang w:val="zh-CN" w:eastAsia="zh-CN" w:bidi="zh-CN"/>
      </w:rPr>
    </w:lvl>
    <w:lvl w:ilvl="2" w:tentative="0">
      <w:start w:val="0"/>
      <w:numFmt w:val="bullet"/>
      <w:lvlText w:val="•"/>
      <w:lvlJc w:val="left"/>
      <w:pPr>
        <w:ind w:left="3021" w:hanging="425"/>
      </w:pPr>
      <w:rPr>
        <w:rFonts w:hint="default"/>
        <w:lang w:val="zh-CN" w:eastAsia="zh-CN" w:bidi="zh-CN"/>
      </w:rPr>
    </w:lvl>
    <w:lvl w:ilvl="3" w:tentative="0">
      <w:start w:val="0"/>
      <w:numFmt w:val="bullet"/>
      <w:lvlText w:val="•"/>
      <w:lvlJc w:val="left"/>
      <w:pPr>
        <w:ind w:left="3821" w:hanging="425"/>
      </w:pPr>
      <w:rPr>
        <w:rFonts w:hint="default"/>
        <w:lang w:val="zh-CN" w:eastAsia="zh-CN" w:bidi="zh-CN"/>
      </w:rPr>
    </w:lvl>
    <w:lvl w:ilvl="4" w:tentative="0">
      <w:start w:val="0"/>
      <w:numFmt w:val="bullet"/>
      <w:lvlText w:val="•"/>
      <w:lvlJc w:val="left"/>
      <w:pPr>
        <w:ind w:left="4622" w:hanging="425"/>
      </w:pPr>
      <w:rPr>
        <w:rFonts w:hint="default"/>
        <w:lang w:val="zh-CN" w:eastAsia="zh-CN" w:bidi="zh-CN"/>
      </w:rPr>
    </w:lvl>
    <w:lvl w:ilvl="5" w:tentative="0">
      <w:start w:val="0"/>
      <w:numFmt w:val="bullet"/>
      <w:lvlText w:val="•"/>
      <w:lvlJc w:val="left"/>
      <w:pPr>
        <w:ind w:left="5423" w:hanging="425"/>
      </w:pPr>
      <w:rPr>
        <w:rFonts w:hint="default"/>
        <w:lang w:val="zh-CN" w:eastAsia="zh-CN" w:bidi="zh-CN"/>
      </w:rPr>
    </w:lvl>
    <w:lvl w:ilvl="6" w:tentative="0">
      <w:start w:val="0"/>
      <w:numFmt w:val="bullet"/>
      <w:lvlText w:val="•"/>
      <w:lvlJc w:val="left"/>
      <w:pPr>
        <w:ind w:left="6223" w:hanging="425"/>
      </w:pPr>
      <w:rPr>
        <w:rFonts w:hint="default"/>
        <w:lang w:val="zh-CN" w:eastAsia="zh-CN" w:bidi="zh-CN"/>
      </w:rPr>
    </w:lvl>
    <w:lvl w:ilvl="7" w:tentative="0">
      <w:start w:val="0"/>
      <w:numFmt w:val="bullet"/>
      <w:lvlText w:val="•"/>
      <w:lvlJc w:val="left"/>
      <w:pPr>
        <w:ind w:left="7024" w:hanging="425"/>
      </w:pPr>
      <w:rPr>
        <w:rFonts w:hint="default"/>
        <w:lang w:val="zh-CN" w:eastAsia="zh-CN" w:bidi="zh-CN"/>
      </w:rPr>
    </w:lvl>
    <w:lvl w:ilvl="8" w:tentative="0">
      <w:start w:val="0"/>
      <w:numFmt w:val="bullet"/>
      <w:lvlText w:val="•"/>
      <w:lvlJc w:val="left"/>
      <w:pPr>
        <w:ind w:left="7825" w:hanging="425"/>
      </w:pPr>
      <w:rPr>
        <w:rFonts w:hint="default"/>
        <w:lang w:val="zh-CN" w:eastAsia="zh-CN" w:bidi="zh-CN"/>
      </w:rPr>
    </w:lvl>
  </w:abstractNum>
  <w:abstractNum w:abstractNumId="20">
    <w:nsid w:val="5D4145C9"/>
    <w:multiLevelType w:val="multilevel"/>
    <w:tmpl w:val="5D4145C9"/>
    <w:lvl w:ilvl="0" w:tentative="0">
      <w:start w:val="33"/>
      <w:numFmt w:val="decimal"/>
      <w:lvlText w:val="%1."/>
      <w:lvlJc w:val="left"/>
      <w:pPr>
        <w:ind w:left="137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574"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2274" w:hanging="603"/>
      </w:pPr>
      <w:rPr>
        <w:rFonts w:hint="default"/>
        <w:lang w:val="zh-CN" w:eastAsia="zh-CN" w:bidi="zh-CN"/>
      </w:rPr>
    </w:lvl>
    <w:lvl w:ilvl="3" w:tentative="0">
      <w:start w:val="0"/>
      <w:numFmt w:val="bullet"/>
      <w:lvlText w:val="•"/>
      <w:lvlJc w:val="left"/>
      <w:pPr>
        <w:ind w:left="3168" w:hanging="603"/>
      </w:pPr>
      <w:rPr>
        <w:rFonts w:hint="default"/>
        <w:lang w:val="zh-CN" w:eastAsia="zh-CN" w:bidi="zh-CN"/>
      </w:rPr>
    </w:lvl>
    <w:lvl w:ilvl="4" w:tentative="0">
      <w:start w:val="0"/>
      <w:numFmt w:val="bullet"/>
      <w:lvlText w:val="•"/>
      <w:lvlJc w:val="left"/>
      <w:pPr>
        <w:ind w:left="4062" w:hanging="603"/>
      </w:pPr>
      <w:rPr>
        <w:rFonts w:hint="default"/>
        <w:lang w:val="zh-CN" w:eastAsia="zh-CN" w:bidi="zh-CN"/>
      </w:rPr>
    </w:lvl>
    <w:lvl w:ilvl="5" w:tentative="0">
      <w:start w:val="0"/>
      <w:numFmt w:val="bullet"/>
      <w:lvlText w:val="•"/>
      <w:lvlJc w:val="left"/>
      <w:pPr>
        <w:ind w:left="4956" w:hanging="603"/>
      </w:pPr>
      <w:rPr>
        <w:rFonts w:hint="default"/>
        <w:lang w:val="zh-CN" w:eastAsia="zh-CN" w:bidi="zh-CN"/>
      </w:rPr>
    </w:lvl>
    <w:lvl w:ilvl="6" w:tentative="0">
      <w:start w:val="0"/>
      <w:numFmt w:val="bullet"/>
      <w:lvlText w:val="•"/>
      <w:lvlJc w:val="left"/>
      <w:pPr>
        <w:ind w:left="5850" w:hanging="603"/>
      </w:pPr>
      <w:rPr>
        <w:rFonts w:hint="default"/>
        <w:lang w:val="zh-CN" w:eastAsia="zh-CN" w:bidi="zh-CN"/>
      </w:rPr>
    </w:lvl>
    <w:lvl w:ilvl="7" w:tentative="0">
      <w:start w:val="0"/>
      <w:numFmt w:val="bullet"/>
      <w:lvlText w:val="•"/>
      <w:lvlJc w:val="left"/>
      <w:pPr>
        <w:ind w:left="6744" w:hanging="603"/>
      </w:pPr>
      <w:rPr>
        <w:rFonts w:hint="default"/>
        <w:lang w:val="zh-CN" w:eastAsia="zh-CN" w:bidi="zh-CN"/>
      </w:rPr>
    </w:lvl>
    <w:lvl w:ilvl="8" w:tentative="0">
      <w:start w:val="0"/>
      <w:numFmt w:val="bullet"/>
      <w:lvlText w:val="•"/>
      <w:lvlJc w:val="left"/>
      <w:pPr>
        <w:ind w:left="7638" w:hanging="603"/>
      </w:pPr>
      <w:rPr>
        <w:rFonts w:hint="default"/>
        <w:lang w:val="zh-CN" w:eastAsia="zh-CN" w:bidi="zh-CN"/>
      </w:rPr>
    </w:lvl>
  </w:abstractNum>
  <w:abstractNum w:abstractNumId="21">
    <w:nsid w:val="5DEB3F62"/>
    <w:multiLevelType w:val="multilevel"/>
    <w:tmpl w:val="5DEB3F62"/>
    <w:lvl w:ilvl="0" w:tentative="0">
      <w:start w:val="22"/>
      <w:numFmt w:val="decimal"/>
      <w:lvlText w:val="%1."/>
      <w:lvlJc w:val="left"/>
      <w:pPr>
        <w:ind w:left="137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574"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1540" w:hanging="603"/>
      </w:pPr>
      <w:rPr>
        <w:rFonts w:hint="default"/>
        <w:lang w:val="zh-CN" w:eastAsia="zh-CN" w:bidi="zh-CN"/>
      </w:rPr>
    </w:lvl>
    <w:lvl w:ilvl="3" w:tentative="0">
      <w:start w:val="0"/>
      <w:numFmt w:val="bullet"/>
      <w:lvlText w:val="•"/>
      <w:lvlJc w:val="left"/>
      <w:pPr>
        <w:ind w:left="2525" w:hanging="603"/>
      </w:pPr>
      <w:rPr>
        <w:rFonts w:hint="default"/>
        <w:lang w:val="zh-CN" w:eastAsia="zh-CN" w:bidi="zh-CN"/>
      </w:rPr>
    </w:lvl>
    <w:lvl w:ilvl="4" w:tentative="0">
      <w:start w:val="0"/>
      <w:numFmt w:val="bullet"/>
      <w:lvlText w:val="•"/>
      <w:lvlJc w:val="left"/>
      <w:pPr>
        <w:ind w:left="3511" w:hanging="603"/>
      </w:pPr>
      <w:rPr>
        <w:rFonts w:hint="default"/>
        <w:lang w:val="zh-CN" w:eastAsia="zh-CN" w:bidi="zh-CN"/>
      </w:rPr>
    </w:lvl>
    <w:lvl w:ilvl="5" w:tentative="0">
      <w:start w:val="0"/>
      <w:numFmt w:val="bullet"/>
      <w:lvlText w:val="•"/>
      <w:lvlJc w:val="left"/>
      <w:pPr>
        <w:ind w:left="4497" w:hanging="603"/>
      </w:pPr>
      <w:rPr>
        <w:rFonts w:hint="default"/>
        <w:lang w:val="zh-CN" w:eastAsia="zh-CN" w:bidi="zh-CN"/>
      </w:rPr>
    </w:lvl>
    <w:lvl w:ilvl="6" w:tentative="0">
      <w:start w:val="0"/>
      <w:numFmt w:val="bullet"/>
      <w:lvlText w:val="•"/>
      <w:lvlJc w:val="left"/>
      <w:pPr>
        <w:ind w:left="5483" w:hanging="603"/>
      </w:pPr>
      <w:rPr>
        <w:rFonts w:hint="default"/>
        <w:lang w:val="zh-CN" w:eastAsia="zh-CN" w:bidi="zh-CN"/>
      </w:rPr>
    </w:lvl>
    <w:lvl w:ilvl="7" w:tentative="0">
      <w:start w:val="0"/>
      <w:numFmt w:val="bullet"/>
      <w:lvlText w:val="•"/>
      <w:lvlJc w:val="left"/>
      <w:pPr>
        <w:ind w:left="6469" w:hanging="603"/>
      </w:pPr>
      <w:rPr>
        <w:rFonts w:hint="default"/>
        <w:lang w:val="zh-CN" w:eastAsia="zh-CN" w:bidi="zh-CN"/>
      </w:rPr>
    </w:lvl>
    <w:lvl w:ilvl="8" w:tentative="0">
      <w:start w:val="0"/>
      <w:numFmt w:val="bullet"/>
      <w:lvlText w:val="•"/>
      <w:lvlJc w:val="left"/>
      <w:pPr>
        <w:ind w:left="7454" w:hanging="603"/>
      </w:pPr>
      <w:rPr>
        <w:rFonts w:hint="default"/>
        <w:lang w:val="zh-CN" w:eastAsia="zh-CN" w:bidi="zh-CN"/>
      </w:rPr>
    </w:lvl>
  </w:abstractNum>
  <w:abstractNum w:abstractNumId="22">
    <w:nsid w:val="65D028C1"/>
    <w:multiLevelType w:val="multilevel"/>
    <w:tmpl w:val="65D028C1"/>
    <w:lvl w:ilvl="0" w:tentative="0">
      <w:start w:val="1"/>
      <w:numFmt w:val="decimal"/>
      <w:lvlText w:val="%1."/>
      <w:lvlJc w:val="left"/>
      <w:pPr>
        <w:ind w:left="560" w:hanging="241"/>
      </w:pPr>
      <w:rPr>
        <w:rFonts w:hint="default" w:ascii="宋体" w:hAnsi="宋体" w:eastAsia="宋体" w:cs="宋体"/>
        <w:spacing w:val="-48"/>
        <w:w w:val="100"/>
        <w:sz w:val="22"/>
        <w:szCs w:val="22"/>
        <w:lang w:val="zh-CN" w:eastAsia="zh-CN" w:bidi="zh-CN"/>
      </w:rPr>
    </w:lvl>
    <w:lvl w:ilvl="1" w:tentative="0">
      <w:start w:val="0"/>
      <w:numFmt w:val="bullet"/>
      <w:lvlText w:val="•"/>
      <w:lvlJc w:val="left"/>
      <w:pPr>
        <w:ind w:left="1446" w:hanging="241"/>
      </w:pPr>
      <w:rPr>
        <w:rFonts w:hint="default"/>
        <w:lang w:val="zh-CN" w:eastAsia="zh-CN" w:bidi="zh-CN"/>
      </w:rPr>
    </w:lvl>
    <w:lvl w:ilvl="2" w:tentative="0">
      <w:start w:val="0"/>
      <w:numFmt w:val="bullet"/>
      <w:lvlText w:val="•"/>
      <w:lvlJc w:val="left"/>
      <w:pPr>
        <w:ind w:left="2333" w:hanging="241"/>
      </w:pPr>
      <w:rPr>
        <w:rFonts w:hint="default"/>
        <w:lang w:val="zh-CN" w:eastAsia="zh-CN" w:bidi="zh-CN"/>
      </w:rPr>
    </w:lvl>
    <w:lvl w:ilvl="3" w:tentative="0">
      <w:start w:val="0"/>
      <w:numFmt w:val="bullet"/>
      <w:lvlText w:val="•"/>
      <w:lvlJc w:val="left"/>
      <w:pPr>
        <w:ind w:left="3219" w:hanging="241"/>
      </w:pPr>
      <w:rPr>
        <w:rFonts w:hint="default"/>
        <w:lang w:val="zh-CN" w:eastAsia="zh-CN" w:bidi="zh-CN"/>
      </w:rPr>
    </w:lvl>
    <w:lvl w:ilvl="4" w:tentative="0">
      <w:start w:val="0"/>
      <w:numFmt w:val="bullet"/>
      <w:lvlText w:val="•"/>
      <w:lvlJc w:val="left"/>
      <w:pPr>
        <w:ind w:left="4106" w:hanging="241"/>
      </w:pPr>
      <w:rPr>
        <w:rFonts w:hint="default"/>
        <w:lang w:val="zh-CN" w:eastAsia="zh-CN" w:bidi="zh-CN"/>
      </w:rPr>
    </w:lvl>
    <w:lvl w:ilvl="5" w:tentative="0">
      <w:start w:val="0"/>
      <w:numFmt w:val="bullet"/>
      <w:lvlText w:val="•"/>
      <w:lvlJc w:val="left"/>
      <w:pPr>
        <w:ind w:left="4993" w:hanging="241"/>
      </w:pPr>
      <w:rPr>
        <w:rFonts w:hint="default"/>
        <w:lang w:val="zh-CN" w:eastAsia="zh-CN" w:bidi="zh-CN"/>
      </w:rPr>
    </w:lvl>
    <w:lvl w:ilvl="6" w:tentative="0">
      <w:start w:val="0"/>
      <w:numFmt w:val="bullet"/>
      <w:lvlText w:val="•"/>
      <w:lvlJc w:val="left"/>
      <w:pPr>
        <w:ind w:left="5879" w:hanging="241"/>
      </w:pPr>
      <w:rPr>
        <w:rFonts w:hint="default"/>
        <w:lang w:val="zh-CN" w:eastAsia="zh-CN" w:bidi="zh-CN"/>
      </w:rPr>
    </w:lvl>
    <w:lvl w:ilvl="7" w:tentative="0">
      <w:start w:val="0"/>
      <w:numFmt w:val="bullet"/>
      <w:lvlText w:val="•"/>
      <w:lvlJc w:val="left"/>
      <w:pPr>
        <w:ind w:left="6766" w:hanging="241"/>
      </w:pPr>
      <w:rPr>
        <w:rFonts w:hint="default"/>
        <w:lang w:val="zh-CN" w:eastAsia="zh-CN" w:bidi="zh-CN"/>
      </w:rPr>
    </w:lvl>
    <w:lvl w:ilvl="8" w:tentative="0">
      <w:start w:val="0"/>
      <w:numFmt w:val="bullet"/>
      <w:lvlText w:val="•"/>
      <w:lvlJc w:val="left"/>
      <w:pPr>
        <w:ind w:left="7653" w:hanging="241"/>
      </w:pPr>
      <w:rPr>
        <w:rFonts w:hint="default"/>
        <w:lang w:val="zh-CN" w:eastAsia="zh-CN" w:bidi="zh-CN"/>
      </w:rPr>
    </w:lvl>
  </w:abstractNum>
  <w:abstractNum w:abstractNumId="23">
    <w:nsid w:val="674162AD"/>
    <w:multiLevelType w:val="multilevel"/>
    <w:tmpl w:val="674162AD"/>
    <w:lvl w:ilvl="0" w:tentative="0">
      <w:start w:val="2"/>
      <w:numFmt w:val="decimal"/>
      <w:lvlText w:val="%1"/>
      <w:lvlJc w:val="left"/>
      <w:pPr>
        <w:ind w:left="1429" w:hanging="420"/>
      </w:pPr>
      <w:rPr>
        <w:rFonts w:hint="default"/>
        <w:lang w:val="zh-CN" w:eastAsia="zh-CN" w:bidi="zh-CN"/>
      </w:rPr>
    </w:lvl>
    <w:lvl w:ilvl="1" w:tentative="0">
      <w:start w:val="1"/>
      <w:numFmt w:val="decimal"/>
      <w:lvlText w:val="%1.%2"/>
      <w:lvlJc w:val="left"/>
      <w:pPr>
        <w:ind w:left="1429" w:hanging="420"/>
      </w:pPr>
      <w:rPr>
        <w:rFonts w:hint="default"/>
        <w:w w:val="100"/>
        <w:lang w:val="zh-CN" w:eastAsia="zh-CN" w:bidi="zh-CN"/>
      </w:rPr>
    </w:lvl>
    <w:lvl w:ilvl="2" w:tentative="0">
      <w:start w:val="1"/>
      <w:numFmt w:val="decimal"/>
      <w:lvlText w:val="%1.%2.%3"/>
      <w:lvlJc w:val="left"/>
      <w:pPr>
        <w:ind w:left="574" w:hanging="644"/>
      </w:pPr>
      <w:rPr>
        <w:rFonts w:hint="default" w:ascii="宋体" w:hAnsi="宋体" w:eastAsia="宋体" w:cs="宋体"/>
        <w:w w:val="100"/>
        <w:sz w:val="24"/>
        <w:szCs w:val="24"/>
        <w:lang w:val="zh-CN" w:eastAsia="zh-CN" w:bidi="zh-CN"/>
      </w:rPr>
    </w:lvl>
    <w:lvl w:ilvl="3" w:tentative="0">
      <w:start w:val="0"/>
      <w:numFmt w:val="bullet"/>
      <w:lvlText w:val="•"/>
      <w:lvlJc w:val="left"/>
      <w:pPr>
        <w:ind w:left="3199" w:hanging="644"/>
      </w:pPr>
      <w:rPr>
        <w:rFonts w:hint="default"/>
        <w:lang w:val="zh-CN" w:eastAsia="zh-CN" w:bidi="zh-CN"/>
      </w:rPr>
    </w:lvl>
    <w:lvl w:ilvl="4" w:tentative="0">
      <w:start w:val="0"/>
      <w:numFmt w:val="bullet"/>
      <w:lvlText w:val="•"/>
      <w:lvlJc w:val="left"/>
      <w:pPr>
        <w:ind w:left="4088" w:hanging="644"/>
      </w:pPr>
      <w:rPr>
        <w:rFonts w:hint="default"/>
        <w:lang w:val="zh-CN" w:eastAsia="zh-CN" w:bidi="zh-CN"/>
      </w:rPr>
    </w:lvl>
    <w:lvl w:ilvl="5" w:tentative="0">
      <w:start w:val="0"/>
      <w:numFmt w:val="bullet"/>
      <w:lvlText w:val="•"/>
      <w:lvlJc w:val="left"/>
      <w:pPr>
        <w:ind w:left="4978" w:hanging="644"/>
      </w:pPr>
      <w:rPr>
        <w:rFonts w:hint="default"/>
        <w:lang w:val="zh-CN" w:eastAsia="zh-CN" w:bidi="zh-CN"/>
      </w:rPr>
    </w:lvl>
    <w:lvl w:ilvl="6" w:tentative="0">
      <w:start w:val="0"/>
      <w:numFmt w:val="bullet"/>
      <w:lvlText w:val="•"/>
      <w:lvlJc w:val="left"/>
      <w:pPr>
        <w:ind w:left="5868" w:hanging="644"/>
      </w:pPr>
      <w:rPr>
        <w:rFonts w:hint="default"/>
        <w:lang w:val="zh-CN" w:eastAsia="zh-CN" w:bidi="zh-CN"/>
      </w:rPr>
    </w:lvl>
    <w:lvl w:ilvl="7" w:tentative="0">
      <w:start w:val="0"/>
      <w:numFmt w:val="bullet"/>
      <w:lvlText w:val="•"/>
      <w:lvlJc w:val="left"/>
      <w:pPr>
        <w:ind w:left="6757" w:hanging="644"/>
      </w:pPr>
      <w:rPr>
        <w:rFonts w:hint="default"/>
        <w:lang w:val="zh-CN" w:eastAsia="zh-CN" w:bidi="zh-CN"/>
      </w:rPr>
    </w:lvl>
    <w:lvl w:ilvl="8" w:tentative="0">
      <w:start w:val="0"/>
      <w:numFmt w:val="bullet"/>
      <w:lvlText w:val="•"/>
      <w:lvlJc w:val="left"/>
      <w:pPr>
        <w:ind w:left="7647" w:hanging="644"/>
      </w:pPr>
      <w:rPr>
        <w:rFonts w:hint="default"/>
        <w:lang w:val="zh-CN" w:eastAsia="zh-CN" w:bidi="zh-CN"/>
      </w:rPr>
    </w:lvl>
  </w:abstractNum>
  <w:abstractNum w:abstractNumId="24">
    <w:nsid w:val="67B902C4"/>
    <w:multiLevelType w:val="multilevel"/>
    <w:tmpl w:val="67B902C4"/>
    <w:lvl w:ilvl="0" w:tentative="0">
      <w:start w:val="7"/>
      <w:numFmt w:val="decimal"/>
      <w:lvlText w:val="%1."/>
      <w:lvlJc w:val="left"/>
      <w:pPr>
        <w:ind w:left="1255" w:hanging="244"/>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1429" w:hanging="420"/>
      </w:pPr>
      <w:rPr>
        <w:rFonts w:hint="default" w:ascii="宋体" w:hAnsi="宋体" w:eastAsia="宋体" w:cs="宋体"/>
        <w:w w:val="100"/>
        <w:sz w:val="24"/>
        <w:szCs w:val="24"/>
        <w:lang w:val="zh-CN" w:eastAsia="zh-CN" w:bidi="zh-CN"/>
      </w:rPr>
    </w:lvl>
    <w:lvl w:ilvl="2" w:tentative="0">
      <w:start w:val="0"/>
      <w:numFmt w:val="bullet"/>
      <w:lvlText w:val="•"/>
      <w:lvlJc w:val="left"/>
      <w:pPr>
        <w:ind w:left="2309" w:hanging="420"/>
      </w:pPr>
      <w:rPr>
        <w:rFonts w:hint="default"/>
        <w:lang w:val="zh-CN" w:eastAsia="zh-CN" w:bidi="zh-CN"/>
      </w:rPr>
    </w:lvl>
    <w:lvl w:ilvl="3" w:tentative="0">
      <w:start w:val="0"/>
      <w:numFmt w:val="bullet"/>
      <w:lvlText w:val="•"/>
      <w:lvlJc w:val="left"/>
      <w:pPr>
        <w:ind w:left="3199" w:hanging="420"/>
      </w:pPr>
      <w:rPr>
        <w:rFonts w:hint="default"/>
        <w:lang w:val="zh-CN" w:eastAsia="zh-CN" w:bidi="zh-CN"/>
      </w:rPr>
    </w:lvl>
    <w:lvl w:ilvl="4" w:tentative="0">
      <w:start w:val="0"/>
      <w:numFmt w:val="bullet"/>
      <w:lvlText w:val="•"/>
      <w:lvlJc w:val="left"/>
      <w:pPr>
        <w:ind w:left="4088" w:hanging="420"/>
      </w:pPr>
      <w:rPr>
        <w:rFonts w:hint="default"/>
        <w:lang w:val="zh-CN" w:eastAsia="zh-CN" w:bidi="zh-CN"/>
      </w:rPr>
    </w:lvl>
    <w:lvl w:ilvl="5" w:tentative="0">
      <w:start w:val="0"/>
      <w:numFmt w:val="bullet"/>
      <w:lvlText w:val="•"/>
      <w:lvlJc w:val="left"/>
      <w:pPr>
        <w:ind w:left="4978" w:hanging="420"/>
      </w:pPr>
      <w:rPr>
        <w:rFonts w:hint="default"/>
        <w:lang w:val="zh-CN" w:eastAsia="zh-CN" w:bidi="zh-CN"/>
      </w:rPr>
    </w:lvl>
    <w:lvl w:ilvl="6" w:tentative="0">
      <w:start w:val="0"/>
      <w:numFmt w:val="bullet"/>
      <w:lvlText w:val="•"/>
      <w:lvlJc w:val="left"/>
      <w:pPr>
        <w:ind w:left="5868" w:hanging="420"/>
      </w:pPr>
      <w:rPr>
        <w:rFonts w:hint="default"/>
        <w:lang w:val="zh-CN" w:eastAsia="zh-CN" w:bidi="zh-CN"/>
      </w:rPr>
    </w:lvl>
    <w:lvl w:ilvl="7" w:tentative="0">
      <w:start w:val="0"/>
      <w:numFmt w:val="bullet"/>
      <w:lvlText w:val="•"/>
      <w:lvlJc w:val="left"/>
      <w:pPr>
        <w:ind w:left="6757" w:hanging="420"/>
      </w:pPr>
      <w:rPr>
        <w:rFonts w:hint="default"/>
        <w:lang w:val="zh-CN" w:eastAsia="zh-CN" w:bidi="zh-CN"/>
      </w:rPr>
    </w:lvl>
    <w:lvl w:ilvl="8" w:tentative="0">
      <w:start w:val="0"/>
      <w:numFmt w:val="bullet"/>
      <w:lvlText w:val="•"/>
      <w:lvlJc w:val="left"/>
      <w:pPr>
        <w:ind w:left="7647" w:hanging="420"/>
      </w:pPr>
      <w:rPr>
        <w:rFonts w:hint="default"/>
        <w:lang w:val="zh-CN" w:eastAsia="zh-CN" w:bidi="zh-CN"/>
      </w:rPr>
    </w:lvl>
  </w:abstractNum>
  <w:abstractNum w:abstractNumId="25">
    <w:nsid w:val="680B4924"/>
    <w:multiLevelType w:val="multilevel"/>
    <w:tmpl w:val="680B4924"/>
    <w:lvl w:ilvl="0" w:tentative="0">
      <w:start w:val="16"/>
      <w:numFmt w:val="decimal"/>
      <w:lvlText w:val="%1"/>
      <w:lvlJc w:val="left"/>
      <w:pPr>
        <w:ind w:left="574" w:hanging="603"/>
      </w:pPr>
      <w:rPr>
        <w:rFonts w:hint="default"/>
        <w:lang w:val="zh-CN" w:eastAsia="zh-CN" w:bidi="zh-CN"/>
      </w:rPr>
    </w:lvl>
    <w:lvl w:ilvl="1" w:tentative="0">
      <w:start w:val="1"/>
      <w:numFmt w:val="decimal"/>
      <w:lvlText w:val="%1.%2"/>
      <w:lvlJc w:val="left"/>
      <w:pPr>
        <w:ind w:left="574"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2349" w:hanging="603"/>
      </w:pPr>
      <w:rPr>
        <w:rFonts w:hint="default"/>
        <w:lang w:val="zh-CN" w:eastAsia="zh-CN" w:bidi="zh-CN"/>
      </w:rPr>
    </w:lvl>
    <w:lvl w:ilvl="3" w:tentative="0">
      <w:start w:val="0"/>
      <w:numFmt w:val="bullet"/>
      <w:lvlText w:val="•"/>
      <w:lvlJc w:val="left"/>
      <w:pPr>
        <w:ind w:left="3233" w:hanging="603"/>
      </w:pPr>
      <w:rPr>
        <w:rFonts w:hint="default"/>
        <w:lang w:val="zh-CN" w:eastAsia="zh-CN" w:bidi="zh-CN"/>
      </w:rPr>
    </w:lvl>
    <w:lvl w:ilvl="4" w:tentative="0">
      <w:start w:val="0"/>
      <w:numFmt w:val="bullet"/>
      <w:lvlText w:val="•"/>
      <w:lvlJc w:val="left"/>
      <w:pPr>
        <w:ind w:left="4118" w:hanging="603"/>
      </w:pPr>
      <w:rPr>
        <w:rFonts w:hint="default"/>
        <w:lang w:val="zh-CN" w:eastAsia="zh-CN" w:bidi="zh-CN"/>
      </w:rPr>
    </w:lvl>
    <w:lvl w:ilvl="5" w:tentative="0">
      <w:start w:val="0"/>
      <w:numFmt w:val="bullet"/>
      <w:lvlText w:val="•"/>
      <w:lvlJc w:val="left"/>
      <w:pPr>
        <w:ind w:left="5003" w:hanging="603"/>
      </w:pPr>
      <w:rPr>
        <w:rFonts w:hint="default"/>
        <w:lang w:val="zh-CN" w:eastAsia="zh-CN" w:bidi="zh-CN"/>
      </w:rPr>
    </w:lvl>
    <w:lvl w:ilvl="6" w:tentative="0">
      <w:start w:val="0"/>
      <w:numFmt w:val="bullet"/>
      <w:lvlText w:val="•"/>
      <w:lvlJc w:val="left"/>
      <w:pPr>
        <w:ind w:left="5887" w:hanging="603"/>
      </w:pPr>
      <w:rPr>
        <w:rFonts w:hint="default"/>
        <w:lang w:val="zh-CN" w:eastAsia="zh-CN" w:bidi="zh-CN"/>
      </w:rPr>
    </w:lvl>
    <w:lvl w:ilvl="7" w:tentative="0">
      <w:start w:val="0"/>
      <w:numFmt w:val="bullet"/>
      <w:lvlText w:val="•"/>
      <w:lvlJc w:val="left"/>
      <w:pPr>
        <w:ind w:left="6772" w:hanging="603"/>
      </w:pPr>
      <w:rPr>
        <w:rFonts w:hint="default"/>
        <w:lang w:val="zh-CN" w:eastAsia="zh-CN" w:bidi="zh-CN"/>
      </w:rPr>
    </w:lvl>
    <w:lvl w:ilvl="8" w:tentative="0">
      <w:start w:val="0"/>
      <w:numFmt w:val="bullet"/>
      <w:lvlText w:val="•"/>
      <w:lvlJc w:val="left"/>
      <w:pPr>
        <w:ind w:left="7657" w:hanging="603"/>
      </w:pPr>
      <w:rPr>
        <w:rFonts w:hint="default"/>
        <w:lang w:val="zh-CN" w:eastAsia="zh-CN" w:bidi="zh-CN"/>
      </w:rPr>
    </w:lvl>
  </w:abstractNum>
  <w:abstractNum w:abstractNumId="26">
    <w:nsid w:val="6C914CF7"/>
    <w:multiLevelType w:val="multilevel"/>
    <w:tmpl w:val="6C914CF7"/>
    <w:lvl w:ilvl="0" w:tentative="0">
      <w:start w:val="1"/>
      <w:numFmt w:val="decimal"/>
      <w:lvlText w:val="%1."/>
      <w:lvlJc w:val="left"/>
      <w:pPr>
        <w:ind w:left="895" w:hanging="241"/>
      </w:pPr>
      <w:rPr>
        <w:rFonts w:hint="default" w:ascii="宋体" w:hAnsi="宋体" w:eastAsia="宋体" w:cs="宋体"/>
        <w:w w:val="100"/>
        <w:sz w:val="22"/>
        <w:szCs w:val="22"/>
        <w:lang w:val="zh-CN" w:eastAsia="zh-CN" w:bidi="zh-CN"/>
      </w:rPr>
    </w:lvl>
    <w:lvl w:ilvl="1" w:tentative="0">
      <w:start w:val="0"/>
      <w:numFmt w:val="bullet"/>
      <w:lvlText w:val="•"/>
      <w:lvlJc w:val="left"/>
      <w:pPr>
        <w:ind w:left="1698" w:hanging="241"/>
      </w:pPr>
      <w:rPr>
        <w:rFonts w:hint="default"/>
        <w:lang w:val="zh-CN" w:eastAsia="zh-CN" w:bidi="zh-CN"/>
      </w:rPr>
    </w:lvl>
    <w:lvl w:ilvl="2" w:tentative="0">
      <w:start w:val="0"/>
      <w:numFmt w:val="bullet"/>
      <w:lvlText w:val="•"/>
      <w:lvlJc w:val="left"/>
      <w:pPr>
        <w:ind w:left="2497" w:hanging="241"/>
      </w:pPr>
      <w:rPr>
        <w:rFonts w:hint="default"/>
        <w:lang w:val="zh-CN" w:eastAsia="zh-CN" w:bidi="zh-CN"/>
      </w:rPr>
    </w:lvl>
    <w:lvl w:ilvl="3" w:tentative="0">
      <w:start w:val="0"/>
      <w:numFmt w:val="bullet"/>
      <w:lvlText w:val="•"/>
      <w:lvlJc w:val="left"/>
      <w:pPr>
        <w:ind w:left="3295" w:hanging="241"/>
      </w:pPr>
      <w:rPr>
        <w:rFonts w:hint="default"/>
        <w:lang w:val="zh-CN" w:eastAsia="zh-CN" w:bidi="zh-CN"/>
      </w:rPr>
    </w:lvl>
    <w:lvl w:ilvl="4" w:tentative="0">
      <w:start w:val="0"/>
      <w:numFmt w:val="bullet"/>
      <w:lvlText w:val="•"/>
      <w:lvlJc w:val="left"/>
      <w:pPr>
        <w:ind w:left="4094" w:hanging="241"/>
      </w:pPr>
      <w:rPr>
        <w:rFonts w:hint="default"/>
        <w:lang w:val="zh-CN" w:eastAsia="zh-CN" w:bidi="zh-CN"/>
      </w:rPr>
    </w:lvl>
    <w:lvl w:ilvl="5" w:tentative="0">
      <w:start w:val="0"/>
      <w:numFmt w:val="bullet"/>
      <w:lvlText w:val="•"/>
      <w:lvlJc w:val="left"/>
      <w:pPr>
        <w:ind w:left="4893" w:hanging="241"/>
      </w:pPr>
      <w:rPr>
        <w:rFonts w:hint="default"/>
        <w:lang w:val="zh-CN" w:eastAsia="zh-CN" w:bidi="zh-CN"/>
      </w:rPr>
    </w:lvl>
    <w:lvl w:ilvl="6" w:tentative="0">
      <w:start w:val="0"/>
      <w:numFmt w:val="bullet"/>
      <w:lvlText w:val="•"/>
      <w:lvlJc w:val="left"/>
      <w:pPr>
        <w:ind w:left="5691" w:hanging="241"/>
      </w:pPr>
      <w:rPr>
        <w:rFonts w:hint="default"/>
        <w:lang w:val="zh-CN" w:eastAsia="zh-CN" w:bidi="zh-CN"/>
      </w:rPr>
    </w:lvl>
    <w:lvl w:ilvl="7" w:tentative="0">
      <w:start w:val="0"/>
      <w:numFmt w:val="bullet"/>
      <w:lvlText w:val="•"/>
      <w:lvlJc w:val="left"/>
      <w:pPr>
        <w:ind w:left="6490" w:hanging="241"/>
      </w:pPr>
      <w:rPr>
        <w:rFonts w:hint="default"/>
        <w:lang w:val="zh-CN" w:eastAsia="zh-CN" w:bidi="zh-CN"/>
      </w:rPr>
    </w:lvl>
    <w:lvl w:ilvl="8" w:tentative="0">
      <w:start w:val="0"/>
      <w:numFmt w:val="bullet"/>
      <w:lvlText w:val="•"/>
      <w:lvlJc w:val="left"/>
      <w:pPr>
        <w:ind w:left="7289" w:hanging="241"/>
      </w:pPr>
      <w:rPr>
        <w:rFonts w:hint="default"/>
        <w:lang w:val="zh-CN" w:eastAsia="zh-CN" w:bidi="zh-CN"/>
      </w:rPr>
    </w:lvl>
  </w:abstractNum>
  <w:abstractNum w:abstractNumId="27">
    <w:nsid w:val="6FE0441E"/>
    <w:multiLevelType w:val="multilevel"/>
    <w:tmpl w:val="6FE0441E"/>
    <w:lvl w:ilvl="0" w:tentative="0">
      <w:start w:val="30"/>
      <w:numFmt w:val="decimal"/>
      <w:lvlText w:val="%1"/>
      <w:lvlJc w:val="left"/>
      <w:pPr>
        <w:ind w:left="1549" w:hanging="540"/>
      </w:pPr>
      <w:rPr>
        <w:rFonts w:hint="default"/>
        <w:lang w:val="zh-CN" w:eastAsia="zh-CN" w:bidi="zh-CN"/>
      </w:rPr>
    </w:lvl>
    <w:lvl w:ilvl="1" w:tentative="0">
      <w:start w:val="1"/>
      <w:numFmt w:val="decimal"/>
      <w:lvlText w:val="%1.%2"/>
      <w:lvlJc w:val="left"/>
      <w:pPr>
        <w:ind w:left="1549" w:hanging="540"/>
      </w:pPr>
      <w:rPr>
        <w:rFonts w:hint="default" w:ascii="宋体" w:hAnsi="宋体" w:eastAsia="宋体" w:cs="宋体"/>
        <w:w w:val="100"/>
        <w:sz w:val="24"/>
        <w:szCs w:val="24"/>
        <w:lang w:val="zh-CN" w:eastAsia="zh-CN" w:bidi="zh-CN"/>
      </w:rPr>
    </w:lvl>
    <w:lvl w:ilvl="2" w:tentative="0">
      <w:start w:val="0"/>
      <w:numFmt w:val="bullet"/>
      <w:lvlText w:val="•"/>
      <w:lvlJc w:val="left"/>
      <w:pPr>
        <w:ind w:left="3117" w:hanging="540"/>
      </w:pPr>
      <w:rPr>
        <w:rFonts w:hint="default"/>
        <w:lang w:val="zh-CN" w:eastAsia="zh-CN" w:bidi="zh-CN"/>
      </w:rPr>
    </w:lvl>
    <w:lvl w:ilvl="3" w:tentative="0">
      <w:start w:val="0"/>
      <w:numFmt w:val="bullet"/>
      <w:lvlText w:val="•"/>
      <w:lvlJc w:val="left"/>
      <w:pPr>
        <w:ind w:left="3905" w:hanging="540"/>
      </w:pPr>
      <w:rPr>
        <w:rFonts w:hint="default"/>
        <w:lang w:val="zh-CN" w:eastAsia="zh-CN" w:bidi="zh-CN"/>
      </w:rPr>
    </w:lvl>
    <w:lvl w:ilvl="4" w:tentative="0">
      <w:start w:val="0"/>
      <w:numFmt w:val="bullet"/>
      <w:lvlText w:val="•"/>
      <w:lvlJc w:val="left"/>
      <w:pPr>
        <w:ind w:left="4694" w:hanging="540"/>
      </w:pPr>
      <w:rPr>
        <w:rFonts w:hint="default"/>
        <w:lang w:val="zh-CN" w:eastAsia="zh-CN" w:bidi="zh-CN"/>
      </w:rPr>
    </w:lvl>
    <w:lvl w:ilvl="5" w:tentative="0">
      <w:start w:val="0"/>
      <w:numFmt w:val="bullet"/>
      <w:lvlText w:val="•"/>
      <w:lvlJc w:val="left"/>
      <w:pPr>
        <w:ind w:left="5483" w:hanging="540"/>
      </w:pPr>
      <w:rPr>
        <w:rFonts w:hint="default"/>
        <w:lang w:val="zh-CN" w:eastAsia="zh-CN" w:bidi="zh-CN"/>
      </w:rPr>
    </w:lvl>
    <w:lvl w:ilvl="6" w:tentative="0">
      <w:start w:val="0"/>
      <w:numFmt w:val="bullet"/>
      <w:lvlText w:val="•"/>
      <w:lvlJc w:val="left"/>
      <w:pPr>
        <w:ind w:left="6271" w:hanging="540"/>
      </w:pPr>
      <w:rPr>
        <w:rFonts w:hint="default"/>
        <w:lang w:val="zh-CN" w:eastAsia="zh-CN" w:bidi="zh-CN"/>
      </w:rPr>
    </w:lvl>
    <w:lvl w:ilvl="7" w:tentative="0">
      <w:start w:val="0"/>
      <w:numFmt w:val="bullet"/>
      <w:lvlText w:val="•"/>
      <w:lvlJc w:val="left"/>
      <w:pPr>
        <w:ind w:left="7060" w:hanging="540"/>
      </w:pPr>
      <w:rPr>
        <w:rFonts w:hint="default"/>
        <w:lang w:val="zh-CN" w:eastAsia="zh-CN" w:bidi="zh-CN"/>
      </w:rPr>
    </w:lvl>
    <w:lvl w:ilvl="8" w:tentative="0">
      <w:start w:val="0"/>
      <w:numFmt w:val="bullet"/>
      <w:lvlText w:val="•"/>
      <w:lvlJc w:val="left"/>
      <w:pPr>
        <w:ind w:left="7849" w:hanging="540"/>
      </w:pPr>
      <w:rPr>
        <w:rFonts w:hint="default"/>
        <w:lang w:val="zh-CN" w:eastAsia="zh-CN" w:bidi="zh-CN"/>
      </w:rPr>
    </w:lvl>
  </w:abstractNum>
  <w:abstractNum w:abstractNumId="28">
    <w:nsid w:val="70AB165C"/>
    <w:multiLevelType w:val="multilevel"/>
    <w:tmpl w:val="70AB165C"/>
    <w:lvl w:ilvl="0" w:tentative="0">
      <w:start w:val="12"/>
      <w:numFmt w:val="decimal"/>
      <w:lvlText w:val="%1."/>
      <w:lvlJc w:val="left"/>
      <w:pPr>
        <w:ind w:left="137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574"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2274" w:hanging="603"/>
      </w:pPr>
      <w:rPr>
        <w:rFonts w:hint="default"/>
        <w:lang w:val="zh-CN" w:eastAsia="zh-CN" w:bidi="zh-CN"/>
      </w:rPr>
    </w:lvl>
    <w:lvl w:ilvl="3" w:tentative="0">
      <w:start w:val="0"/>
      <w:numFmt w:val="bullet"/>
      <w:lvlText w:val="•"/>
      <w:lvlJc w:val="left"/>
      <w:pPr>
        <w:ind w:left="3168" w:hanging="603"/>
      </w:pPr>
      <w:rPr>
        <w:rFonts w:hint="default"/>
        <w:lang w:val="zh-CN" w:eastAsia="zh-CN" w:bidi="zh-CN"/>
      </w:rPr>
    </w:lvl>
    <w:lvl w:ilvl="4" w:tentative="0">
      <w:start w:val="0"/>
      <w:numFmt w:val="bullet"/>
      <w:lvlText w:val="•"/>
      <w:lvlJc w:val="left"/>
      <w:pPr>
        <w:ind w:left="4062" w:hanging="603"/>
      </w:pPr>
      <w:rPr>
        <w:rFonts w:hint="default"/>
        <w:lang w:val="zh-CN" w:eastAsia="zh-CN" w:bidi="zh-CN"/>
      </w:rPr>
    </w:lvl>
    <w:lvl w:ilvl="5" w:tentative="0">
      <w:start w:val="0"/>
      <w:numFmt w:val="bullet"/>
      <w:lvlText w:val="•"/>
      <w:lvlJc w:val="left"/>
      <w:pPr>
        <w:ind w:left="4956" w:hanging="603"/>
      </w:pPr>
      <w:rPr>
        <w:rFonts w:hint="default"/>
        <w:lang w:val="zh-CN" w:eastAsia="zh-CN" w:bidi="zh-CN"/>
      </w:rPr>
    </w:lvl>
    <w:lvl w:ilvl="6" w:tentative="0">
      <w:start w:val="0"/>
      <w:numFmt w:val="bullet"/>
      <w:lvlText w:val="•"/>
      <w:lvlJc w:val="left"/>
      <w:pPr>
        <w:ind w:left="5850" w:hanging="603"/>
      </w:pPr>
      <w:rPr>
        <w:rFonts w:hint="default"/>
        <w:lang w:val="zh-CN" w:eastAsia="zh-CN" w:bidi="zh-CN"/>
      </w:rPr>
    </w:lvl>
    <w:lvl w:ilvl="7" w:tentative="0">
      <w:start w:val="0"/>
      <w:numFmt w:val="bullet"/>
      <w:lvlText w:val="•"/>
      <w:lvlJc w:val="left"/>
      <w:pPr>
        <w:ind w:left="6744" w:hanging="603"/>
      </w:pPr>
      <w:rPr>
        <w:rFonts w:hint="default"/>
        <w:lang w:val="zh-CN" w:eastAsia="zh-CN" w:bidi="zh-CN"/>
      </w:rPr>
    </w:lvl>
    <w:lvl w:ilvl="8" w:tentative="0">
      <w:start w:val="0"/>
      <w:numFmt w:val="bullet"/>
      <w:lvlText w:val="•"/>
      <w:lvlJc w:val="left"/>
      <w:pPr>
        <w:ind w:left="7638" w:hanging="603"/>
      </w:pPr>
      <w:rPr>
        <w:rFonts w:hint="default"/>
        <w:lang w:val="zh-CN" w:eastAsia="zh-CN" w:bidi="zh-CN"/>
      </w:rPr>
    </w:lvl>
  </w:abstractNum>
  <w:abstractNum w:abstractNumId="29">
    <w:nsid w:val="7398268E"/>
    <w:multiLevelType w:val="singleLevel"/>
    <w:tmpl w:val="7398268E"/>
    <w:lvl w:ilvl="0" w:tentative="0">
      <w:start w:val="2"/>
      <w:numFmt w:val="chineseCounting"/>
      <w:suff w:val="nothing"/>
      <w:lvlText w:val="%1、"/>
      <w:lvlJc w:val="left"/>
      <w:rPr>
        <w:rFonts w:hint="eastAsia"/>
      </w:rPr>
    </w:lvl>
  </w:abstractNum>
  <w:abstractNum w:abstractNumId="30">
    <w:nsid w:val="73B10E1C"/>
    <w:multiLevelType w:val="multilevel"/>
    <w:tmpl w:val="73B10E1C"/>
    <w:lvl w:ilvl="0" w:tentative="0">
      <w:start w:val="32"/>
      <w:numFmt w:val="decimal"/>
      <w:lvlText w:val="%1"/>
      <w:lvlJc w:val="left"/>
      <w:pPr>
        <w:ind w:left="1558" w:hanging="550"/>
      </w:pPr>
      <w:rPr>
        <w:rFonts w:hint="default"/>
        <w:lang w:val="zh-CN" w:eastAsia="zh-CN" w:bidi="zh-CN"/>
      </w:rPr>
    </w:lvl>
    <w:lvl w:ilvl="1" w:tentative="0">
      <w:start w:val="1"/>
      <w:numFmt w:val="decimal"/>
      <w:lvlText w:val="%1.%2"/>
      <w:lvlJc w:val="left"/>
      <w:pPr>
        <w:ind w:left="1558" w:hanging="550"/>
      </w:pPr>
      <w:rPr>
        <w:rFonts w:hint="default" w:ascii="宋体" w:hAnsi="宋体" w:eastAsia="宋体" w:cs="宋体"/>
        <w:spacing w:val="0"/>
        <w:w w:val="100"/>
        <w:sz w:val="24"/>
        <w:szCs w:val="24"/>
        <w:lang w:val="zh-CN" w:eastAsia="zh-CN" w:bidi="zh-CN"/>
      </w:rPr>
    </w:lvl>
    <w:lvl w:ilvl="2" w:tentative="0">
      <w:start w:val="0"/>
      <w:numFmt w:val="bullet"/>
      <w:lvlText w:val="•"/>
      <w:lvlJc w:val="left"/>
      <w:pPr>
        <w:ind w:left="3133" w:hanging="550"/>
      </w:pPr>
      <w:rPr>
        <w:rFonts w:hint="default"/>
        <w:lang w:val="zh-CN" w:eastAsia="zh-CN" w:bidi="zh-CN"/>
      </w:rPr>
    </w:lvl>
    <w:lvl w:ilvl="3" w:tentative="0">
      <w:start w:val="0"/>
      <w:numFmt w:val="bullet"/>
      <w:lvlText w:val="•"/>
      <w:lvlJc w:val="left"/>
      <w:pPr>
        <w:ind w:left="3919" w:hanging="550"/>
      </w:pPr>
      <w:rPr>
        <w:rFonts w:hint="default"/>
        <w:lang w:val="zh-CN" w:eastAsia="zh-CN" w:bidi="zh-CN"/>
      </w:rPr>
    </w:lvl>
    <w:lvl w:ilvl="4" w:tentative="0">
      <w:start w:val="0"/>
      <w:numFmt w:val="bullet"/>
      <w:lvlText w:val="•"/>
      <w:lvlJc w:val="left"/>
      <w:pPr>
        <w:ind w:left="4706" w:hanging="550"/>
      </w:pPr>
      <w:rPr>
        <w:rFonts w:hint="default"/>
        <w:lang w:val="zh-CN" w:eastAsia="zh-CN" w:bidi="zh-CN"/>
      </w:rPr>
    </w:lvl>
    <w:lvl w:ilvl="5" w:tentative="0">
      <w:start w:val="0"/>
      <w:numFmt w:val="bullet"/>
      <w:lvlText w:val="•"/>
      <w:lvlJc w:val="left"/>
      <w:pPr>
        <w:ind w:left="5493" w:hanging="550"/>
      </w:pPr>
      <w:rPr>
        <w:rFonts w:hint="default"/>
        <w:lang w:val="zh-CN" w:eastAsia="zh-CN" w:bidi="zh-CN"/>
      </w:rPr>
    </w:lvl>
    <w:lvl w:ilvl="6" w:tentative="0">
      <w:start w:val="0"/>
      <w:numFmt w:val="bullet"/>
      <w:lvlText w:val="•"/>
      <w:lvlJc w:val="left"/>
      <w:pPr>
        <w:ind w:left="6279" w:hanging="550"/>
      </w:pPr>
      <w:rPr>
        <w:rFonts w:hint="default"/>
        <w:lang w:val="zh-CN" w:eastAsia="zh-CN" w:bidi="zh-CN"/>
      </w:rPr>
    </w:lvl>
    <w:lvl w:ilvl="7" w:tentative="0">
      <w:start w:val="0"/>
      <w:numFmt w:val="bullet"/>
      <w:lvlText w:val="•"/>
      <w:lvlJc w:val="left"/>
      <w:pPr>
        <w:ind w:left="7066" w:hanging="550"/>
      </w:pPr>
      <w:rPr>
        <w:rFonts w:hint="default"/>
        <w:lang w:val="zh-CN" w:eastAsia="zh-CN" w:bidi="zh-CN"/>
      </w:rPr>
    </w:lvl>
    <w:lvl w:ilvl="8" w:tentative="0">
      <w:start w:val="0"/>
      <w:numFmt w:val="bullet"/>
      <w:lvlText w:val="•"/>
      <w:lvlJc w:val="left"/>
      <w:pPr>
        <w:ind w:left="7853" w:hanging="550"/>
      </w:pPr>
      <w:rPr>
        <w:rFonts w:hint="default"/>
        <w:lang w:val="zh-CN" w:eastAsia="zh-CN" w:bidi="zh-CN"/>
      </w:rPr>
    </w:lvl>
  </w:abstractNum>
  <w:num w:numId="1">
    <w:abstractNumId w:val="1"/>
  </w:num>
  <w:num w:numId="2">
    <w:abstractNumId w:val="18"/>
  </w:num>
  <w:num w:numId="3">
    <w:abstractNumId w:val="16"/>
  </w:num>
  <w:num w:numId="4">
    <w:abstractNumId w:val="24"/>
  </w:num>
  <w:num w:numId="5">
    <w:abstractNumId w:val="13"/>
  </w:num>
  <w:num w:numId="6">
    <w:abstractNumId w:val="2"/>
  </w:num>
  <w:num w:numId="7">
    <w:abstractNumId w:val="28"/>
  </w:num>
  <w:num w:numId="8">
    <w:abstractNumId w:val="5"/>
  </w:num>
  <w:num w:numId="9">
    <w:abstractNumId w:val="12"/>
  </w:num>
  <w:num w:numId="10">
    <w:abstractNumId w:val="25"/>
  </w:num>
  <w:num w:numId="11">
    <w:abstractNumId w:val="7"/>
  </w:num>
  <w:num w:numId="12">
    <w:abstractNumId w:val="14"/>
  </w:num>
  <w:num w:numId="13">
    <w:abstractNumId w:val="15"/>
  </w:num>
  <w:num w:numId="14">
    <w:abstractNumId w:val="21"/>
  </w:num>
  <w:num w:numId="15">
    <w:abstractNumId w:val="27"/>
  </w:num>
  <w:num w:numId="16">
    <w:abstractNumId w:val="0"/>
  </w:num>
  <w:num w:numId="17">
    <w:abstractNumId w:val="30"/>
  </w:num>
  <w:num w:numId="18">
    <w:abstractNumId w:val="20"/>
  </w:num>
  <w:num w:numId="19">
    <w:abstractNumId w:val="11"/>
  </w:num>
  <w:num w:numId="20">
    <w:abstractNumId w:val="29"/>
  </w:num>
  <w:num w:numId="21">
    <w:abstractNumId w:val="23"/>
  </w:num>
  <w:num w:numId="22">
    <w:abstractNumId w:val="8"/>
  </w:num>
  <w:num w:numId="23">
    <w:abstractNumId w:val="3"/>
  </w:num>
  <w:num w:numId="24">
    <w:abstractNumId w:val="9"/>
  </w:num>
  <w:num w:numId="25">
    <w:abstractNumId w:val="10"/>
  </w:num>
  <w:num w:numId="26">
    <w:abstractNumId w:val="6"/>
  </w:num>
  <w:num w:numId="27">
    <w:abstractNumId w:val="22"/>
  </w:num>
  <w:num w:numId="28">
    <w:abstractNumId w:val="4"/>
  </w:num>
  <w:num w:numId="29">
    <w:abstractNumId w:val="26"/>
  </w:num>
  <w:num w:numId="30">
    <w:abstractNumId w:val="19"/>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FjZTRiYjgzNGQ5MDI5NDI0ODQ3OWIzZDRjYjA0OWMifQ=="/>
    <w:docVar w:name="KSO_WPS_MARK_KEY" w:val="73ba04ea-54a7-44e3-81bf-5a1d7cd9f71f"/>
  </w:docVars>
  <w:rsids>
    <w:rsidRoot w:val="12700D40"/>
    <w:rsid w:val="06D1027E"/>
    <w:rsid w:val="085C1554"/>
    <w:rsid w:val="0D8156B4"/>
    <w:rsid w:val="10904FFC"/>
    <w:rsid w:val="12700D40"/>
    <w:rsid w:val="25BD5532"/>
    <w:rsid w:val="3011060A"/>
    <w:rsid w:val="33B11815"/>
    <w:rsid w:val="3DF67E46"/>
    <w:rsid w:val="3E445205"/>
    <w:rsid w:val="45EF29DE"/>
    <w:rsid w:val="5EC46E9C"/>
    <w:rsid w:val="61580C7F"/>
    <w:rsid w:val="61735661"/>
    <w:rsid w:val="7798281C"/>
    <w:rsid w:val="7DAC31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semiHidden="0" w:name="footnote text"/>
    <w:lsdException w:qFormat="1" w:uiPriority="99"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qFormat="1" w:uiPriority="99"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6">
    <w:name w:val="heading 1"/>
    <w:basedOn w:val="1"/>
    <w:next w:val="1"/>
    <w:qFormat/>
    <w:uiPriority w:val="1"/>
    <w:pPr>
      <w:keepNext/>
      <w:keepLines/>
      <w:spacing w:before="340" w:after="330" w:line="576" w:lineRule="auto"/>
      <w:outlineLvl w:val="0"/>
    </w:pPr>
    <w:rPr>
      <w:rFonts w:ascii="Times New Roman" w:hAnsi="Times New Roman" w:eastAsia="微软雅黑"/>
      <w:b/>
      <w:bCs/>
      <w:kern w:val="44"/>
      <w:sz w:val="30"/>
      <w:szCs w:val="44"/>
    </w:rPr>
  </w:style>
  <w:style w:type="paragraph" w:styleId="7">
    <w:name w:val="heading 2"/>
    <w:basedOn w:val="1"/>
    <w:next w:val="1"/>
    <w:qFormat/>
    <w:uiPriority w:val="1"/>
    <w:pPr>
      <w:keepNext/>
      <w:keepLines/>
      <w:spacing w:before="260" w:after="260" w:line="412" w:lineRule="auto"/>
      <w:outlineLvl w:val="1"/>
    </w:pPr>
    <w:rPr>
      <w:rFonts w:ascii="Arial" w:hAnsi="Arial" w:eastAsia="黑体" w:cs="Arial"/>
      <w:b/>
      <w:bCs/>
      <w:sz w:val="32"/>
      <w:szCs w:val="32"/>
    </w:rPr>
  </w:style>
  <w:style w:type="paragraph" w:styleId="8">
    <w:name w:val="heading 3"/>
    <w:basedOn w:val="1"/>
    <w:next w:val="1"/>
    <w:qFormat/>
    <w:uiPriority w:val="1"/>
    <w:pPr>
      <w:keepNext/>
      <w:keepLines/>
      <w:spacing w:before="260" w:after="260" w:line="416" w:lineRule="auto"/>
      <w:outlineLvl w:val="2"/>
    </w:pPr>
    <w:rPr>
      <w:b/>
      <w:bCs/>
      <w:sz w:val="32"/>
      <w:szCs w:val="32"/>
    </w:rPr>
  </w:style>
  <w:style w:type="paragraph" w:styleId="9">
    <w:name w:val="heading 4"/>
    <w:basedOn w:val="1"/>
    <w:next w:val="1"/>
    <w:qFormat/>
    <w:uiPriority w:val="1"/>
    <w:pPr>
      <w:keepNext/>
      <w:keepLines/>
      <w:spacing w:before="280" w:after="290" w:line="376" w:lineRule="auto"/>
      <w:outlineLvl w:val="3"/>
    </w:pPr>
    <w:rPr>
      <w:rFonts w:ascii="Cambria" w:hAnsi="Cambria" w:eastAsia="宋体" w:cs="Times New Roman"/>
      <w:b/>
      <w:bCs/>
      <w:sz w:val="28"/>
      <w:szCs w:val="28"/>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99"/>
    <w:pPr>
      <w:ind w:firstLine="420" w:firstLineChars="200"/>
    </w:pPr>
  </w:style>
  <w:style w:type="paragraph" w:styleId="3">
    <w:name w:val="Body Text Indent"/>
    <w:basedOn w:val="1"/>
    <w:next w:val="4"/>
    <w:qFormat/>
    <w:uiPriority w:val="0"/>
    <w:pPr>
      <w:spacing w:after="120" w:afterLines="0"/>
      <w:ind w:left="420" w:leftChars="200"/>
    </w:pPr>
    <w:rPr>
      <w:sz w:val="24"/>
    </w:rPr>
  </w:style>
  <w:style w:type="paragraph" w:styleId="4">
    <w:name w:val="envelope return"/>
    <w:basedOn w:val="1"/>
    <w:next w:val="5"/>
    <w:qFormat/>
    <w:uiPriority w:val="99"/>
    <w:pPr>
      <w:widowControl w:val="0"/>
      <w:snapToGrid w:val="0"/>
      <w:jc w:val="both"/>
    </w:pPr>
    <w:rPr>
      <w:rFonts w:ascii="Arial" w:hAnsi="Arial" w:eastAsia="宋体" w:cs="Times New Roman"/>
      <w:kern w:val="2"/>
      <w:sz w:val="21"/>
      <w:lang w:val="en-US" w:eastAsia="zh-CN" w:bidi="ar-SA"/>
    </w:rPr>
  </w:style>
  <w:style w:type="paragraph" w:styleId="5">
    <w:name w:val="toc 7"/>
    <w:basedOn w:val="1"/>
    <w:next w:val="1"/>
    <w:unhideWhenUsed/>
    <w:qFormat/>
    <w:uiPriority w:val="0"/>
    <w:pPr>
      <w:spacing w:beforeLines="0" w:afterLines="0"/>
      <w:ind w:left="1260"/>
    </w:pPr>
    <w:rPr>
      <w:rFonts w:hint="default" w:ascii="Calibri" w:hAnsi="Calibri" w:eastAsia="宋体" w:cs="Calibri"/>
      <w:sz w:val="20"/>
      <w:szCs w:val="20"/>
    </w:rPr>
  </w:style>
  <w:style w:type="paragraph" w:styleId="10">
    <w:name w:val="annotation text"/>
    <w:basedOn w:val="1"/>
    <w:next w:val="1"/>
    <w:unhideWhenUsed/>
    <w:qFormat/>
    <w:uiPriority w:val="99"/>
    <w:pPr>
      <w:jc w:val="left"/>
    </w:pPr>
    <w:rPr>
      <w:kern w:val="0"/>
      <w:sz w:val="20"/>
    </w:rPr>
  </w:style>
  <w:style w:type="paragraph" w:styleId="11">
    <w:name w:val="Body Text"/>
    <w:basedOn w:val="1"/>
    <w:next w:val="12"/>
    <w:qFormat/>
    <w:uiPriority w:val="1"/>
    <w:pPr>
      <w:autoSpaceDE w:val="0"/>
      <w:autoSpaceDN w:val="0"/>
      <w:jc w:val="left"/>
    </w:pPr>
    <w:rPr>
      <w:rFonts w:ascii="宋体" w:hAnsi="宋体" w:cs="宋体"/>
      <w:kern w:val="0"/>
      <w:sz w:val="24"/>
      <w:szCs w:val="24"/>
      <w:lang w:val="zh-CN" w:bidi="zh-CN"/>
    </w:rPr>
  </w:style>
  <w:style w:type="paragraph" w:styleId="12">
    <w:name w:val="Body Text First Indent"/>
    <w:basedOn w:val="11"/>
    <w:unhideWhenUsed/>
    <w:qFormat/>
    <w:uiPriority w:val="0"/>
    <w:pPr>
      <w:adjustRightInd/>
      <w:spacing w:after="120" w:line="240" w:lineRule="auto"/>
      <w:ind w:firstLine="420" w:firstLineChars="100"/>
      <w:jc w:val="both"/>
    </w:pPr>
    <w:rPr>
      <w:rFonts w:ascii="Times New Roman"/>
      <w:kern w:val="2"/>
      <w:sz w:val="21"/>
      <w:szCs w:val="24"/>
    </w:rPr>
  </w:style>
  <w:style w:type="paragraph" w:styleId="13">
    <w:name w:val="Plain Text"/>
    <w:basedOn w:val="1"/>
    <w:unhideWhenUsed/>
    <w:qFormat/>
    <w:uiPriority w:val="0"/>
    <w:rPr>
      <w:rFonts w:ascii="宋体" w:hAnsi="Courier New" w:eastAsia="宋体" w:cs="Times New Roman"/>
      <w:szCs w:val="22"/>
    </w:rPr>
  </w:style>
  <w:style w:type="paragraph" w:styleId="14">
    <w:name w:val="footer"/>
    <w:basedOn w:val="1"/>
    <w:unhideWhenUsed/>
    <w:qFormat/>
    <w:uiPriority w:val="99"/>
    <w:pPr>
      <w:tabs>
        <w:tab w:val="center" w:pos="4153"/>
        <w:tab w:val="right" w:pos="8306"/>
      </w:tabs>
      <w:snapToGrid w:val="0"/>
      <w:jc w:val="left"/>
    </w:pPr>
    <w:rPr>
      <w:sz w:val="18"/>
      <w:szCs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uiPriority w:val="0"/>
  </w:style>
  <w:style w:type="paragraph" w:styleId="17">
    <w:name w:val="footnote text"/>
    <w:basedOn w:val="1"/>
    <w:unhideWhenUsed/>
    <w:qFormat/>
    <w:uiPriority w:val="99"/>
    <w:pPr>
      <w:snapToGrid w:val="0"/>
      <w:jc w:val="left"/>
    </w:pPr>
    <w:rPr>
      <w:rFonts w:ascii="Calibri" w:hAnsi="Calibri"/>
      <w:sz w:val="18"/>
      <w:szCs w:val="18"/>
    </w:rPr>
  </w:style>
  <w:style w:type="paragraph" w:styleId="18">
    <w:name w:val="Normal (Web)"/>
    <w:basedOn w:val="1"/>
    <w:qFormat/>
    <w:uiPriority w:val="0"/>
    <w:pPr>
      <w:spacing w:before="0" w:beforeAutospacing="1" w:after="0" w:afterAutospacing="1"/>
      <w:ind w:left="0" w:right="0"/>
      <w:jc w:val="left"/>
    </w:pPr>
    <w:rPr>
      <w:kern w:val="0"/>
      <w:sz w:val="24"/>
      <w:lang w:val="en-US" w:eastAsia="zh-CN" w:bidi="ar"/>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Hyperlink"/>
    <w:qFormat/>
    <w:uiPriority w:val="99"/>
    <w:rPr>
      <w:color w:val="0000FF"/>
      <w:u w:val="none"/>
    </w:rPr>
  </w:style>
  <w:style w:type="character" w:styleId="23">
    <w:name w:val="footnote reference"/>
    <w:unhideWhenUsed/>
    <w:qFormat/>
    <w:uiPriority w:val="99"/>
    <w:rPr>
      <w:vertAlign w:val="superscript"/>
    </w:rPr>
  </w:style>
  <w:style w:type="character" w:customStyle="1" w:styleId="24">
    <w:name w:val="style3"/>
    <w:qFormat/>
    <w:uiPriority w:val="0"/>
  </w:style>
  <w:style w:type="paragraph" w:customStyle="1" w:styleId="25">
    <w:name w:val="Table Paragraph"/>
    <w:basedOn w:val="1"/>
    <w:qFormat/>
    <w:uiPriority w:val="1"/>
    <w:pPr>
      <w:autoSpaceDE w:val="0"/>
      <w:autoSpaceDN w:val="0"/>
      <w:jc w:val="left"/>
    </w:pPr>
    <w:rPr>
      <w:rFonts w:ascii="宋体" w:hAnsi="宋体" w:cs="宋体"/>
      <w:kern w:val="0"/>
      <w:sz w:val="22"/>
      <w:szCs w:val="22"/>
      <w:lang w:val="zh-CN" w:bidi="zh-CN"/>
    </w:rPr>
  </w:style>
  <w:style w:type="paragraph" w:styleId="26">
    <w:name w:val="List Paragraph"/>
    <w:basedOn w:val="1"/>
    <w:qFormat/>
    <w:uiPriority w:val="1"/>
    <w:pPr>
      <w:ind w:firstLine="420" w:firstLineChars="200"/>
    </w:pPr>
    <w:rPr>
      <w:rFonts w:ascii="Calibri" w:hAnsi="Calibri"/>
      <w:szCs w:val="22"/>
    </w:rPr>
  </w:style>
  <w:style w:type="paragraph" w:customStyle="1" w:styleId="27">
    <w:name w:val="标题 31"/>
    <w:basedOn w:val="1"/>
    <w:qFormat/>
    <w:uiPriority w:val="1"/>
    <w:pPr>
      <w:autoSpaceDE w:val="0"/>
      <w:autoSpaceDN w:val="0"/>
      <w:spacing w:before="132"/>
      <w:ind w:left="220"/>
      <w:jc w:val="left"/>
      <w:outlineLvl w:val="3"/>
    </w:pPr>
    <w:rPr>
      <w:rFonts w:ascii="宋体" w:hAnsi="宋体" w:cs="宋体"/>
      <w:b/>
      <w:bCs/>
      <w:kern w:val="0"/>
      <w:sz w:val="24"/>
      <w:szCs w:val="24"/>
      <w:lang w:val="zh-CN" w:bidi="zh-CN"/>
    </w:rPr>
  </w:style>
  <w:style w:type="paragraph" w:customStyle="1" w:styleId="28">
    <w:name w:val="p15"/>
    <w:basedOn w:val="1"/>
    <w:next w:val="10"/>
    <w:qFormat/>
    <w:uiPriority w:val="99"/>
    <w:pPr>
      <w:widowControl/>
    </w:pPr>
    <w:rPr>
      <w:kern w:val="0"/>
    </w:rPr>
  </w:style>
  <w:style w:type="paragraph" w:customStyle="1" w:styleId="29">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55</Pages>
  <Words>27000</Words>
  <Characters>28789</Characters>
  <Lines>0</Lines>
  <Paragraphs>0</Paragraphs>
  <TotalTime>6</TotalTime>
  <ScaleCrop>false</ScaleCrop>
  <LinksUpToDate>false</LinksUpToDate>
  <CharactersWithSpaces>30027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2023-02-17T07:38:00Z</dcterms:created>
  <dc:creator>刘梦雅</dc:creator>
  <cp:lastModifiedBy>晓森</cp:lastModifiedBy>
  <dcterms:modified xsi:type="dcterms:W3CDTF">2024-07-31T08:58:42Z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7421D46ED09547349224FF087999AEB7</vt:lpwstr>
  </property>
</Properties>
</file>