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bCs/>
          <w:sz w:val="32"/>
          <w:szCs w:val="32"/>
          <w:u w:val="single"/>
        </w:rPr>
      </w:pPr>
    </w:p>
    <w:p>
      <w:pPr>
        <w:spacing w:line="360" w:lineRule="auto"/>
        <w:jc w:val="center"/>
        <w:rPr>
          <w:rFonts w:ascii="宋体" w:hAnsi="宋体"/>
          <w:b/>
          <w:bCs/>
          <w:sz w:val="32"/>
          <w:szCs w:val="32"/>
          <w:u w:val="single"/>
        </w:rPr>
      </w:pPr>
    </w:p>
    <w:p>
      <w:pPr>
        <w:pStyle w:val="17"/>
        <w:jc w:val="center"/>
        <w:rPr>
          <w:rFonts w:hint="eastAsia" w:ascii="宋体" w:hAnsi="宋体" w:eastAsia="宋体" w:cs="Times New Roman"/>
          <w:b/>
          <w:kern w:val="2"/>
          <w:sz w:val="52"/>
          <w:szCs w:val="52"/>
          <w:lang w:val="en-US" w:eastAsia="zh-CN" w:bidi="ar-SA"/>
        </w:rPr>
      </w:pPr>
      <w:r>
        <w:rPr>
          <w:rFonts w:hint="eastAsia" w:ascii="宋体" w:hAnsi="宋体" w:eastAsia="宋体" w:cs="Times New Roman"/>
          <w:b/>
          <w:kern w:val="2"/>
          <w:sz w:val="52"/>
          <w:szCs w:val="52"/>
          <w:lang w:val="en-US" w:eastAsia="zh-CN" w:bidi="ar-SA"/>
        </w:rPr>
        <w:t>界首市光武镇废品收购站（点）综合整治项目</w:t>
      </w:r>
    </w:p>
    <w:p>
      <w:pPr>
        <w:pStyle w:val="17"/>
        <w:rPr>
          <w:rFonts w:hint="eastAsia" w:ascii="宋体" w:hAnsi="宋体"/>
          <w:b/>
          <w:bCs/>
          <w:sz w:val="32"/>
          <w:szCs w:val="32"/>
          <w:u w:val="single"/>
          <w:lang w:eastAsia="zh-CN"/>
        </w:rPr>
      </w:pPr>
    </w:p>
    <w:p>
      <w:pPr>
        <w:pStyle w:val="17"/>
        <w:rPr>
          <w:rFonts w:hint="eastAsia" w:ascii="宋体" w:hAnsi="宋体"/>
          <w:b/>
          <w:bCs/>
          <w:sz w:val="32"/>
          <w:szCs w:val="32"/>
          <w:u w:val="single"/>
          <w:lang w:eastAsia="zh-CN"/>
        </w:rPr>
      </w:pPr>
    </w:p>
    <w:p>
      <w:pPr>
        <w:jc w:val="center"/>
        <w:rPr>
          <w:rFonts w:ascii="宋体" w:hAnsi="宋体"/>
          <w:sz w:val="32"/>
          <w:szCs w:val="32"/>
        </w:rPr>
      </w:pPr>
      <w:r>
        <w:rPr>
          <w:rFonts w:hint="eastAsia" w:ascii="宋体" w:hAnsi="宋体"/>
          <w:b/>
          <w:bCs/>
          <w:sz w:val="72"/>
          <w:szCs w:val="72"/>
        </w:rPr>
        <w:t>竞争性磋商文件</w:t>
      </w:r>
    </w:p>
    <w:p>
      <w:pPr>
        <w:jc w:val="center"/>
        <w:rPr>
          <w:rFonts w:hint="default" w:ascii="宋体" w:hAnsi="宋体"/>
          <w:sz w:val="32"/>
          <w:szCs w:val="32"/>
          <w:lang w:val="en-US"/>
        </w:rPr>
      </w:pPr>
      <w:r>
        <w:rPr>
          <w:rFonts w:hint="eastAsia" w:ascii="宋体" w:hAnsi="宋体"/>
          <w:b/>
          <w:sz w:val="32"/>
          <w:szCs w:val="32"/>
          <w:lang w:eastAsia="zh-CN"/>
        </w:rPr>
        <w:t>（</w:t>
      </w:r>
      <w:r>
        <w:rPr>
          <w:rFonts w:hint="eastAsia" w:ascii="宋体" w:hAnsi="宋体"/>
          <w:b/>
          <w:sz w:val="32"/>
          <w:szCs w:val="32"/>
        </w:rPr>
        <w:t>项目编号：</w:t>
      </w:r>
      <w:r>
        <w:rPr>
          <w:rFonts w:hint="eastAsia" w:ascii="宋体" w:hAnsi="宋体" w:cs="宋体"/>
          <w:b/>
          <w:spacing w:val="20"/>
          <w:sz w:val="32"/>
          <w:szCs w:val="32"/>
          <w:lang w:val="en-US" w:eastAsia="zh-CN"/>
        </w:rPr>
        <w:t>341282100j20221102）</w:t>
      </w: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ind w:firstLine="1606" w:firstLineChars="500"/>
        <w:jc w:val="both"/>
        <w:rPr>
          <w:rFonts w:hint="eastAsia" w:ascii="宋体" w:hAnsi="宋体"/>
          <w:b/>
          <w:sz w:val="32"/>
          <w:szCs w:val="32"/>
        </w:rPr>
      </w:pPr>
      <w:r>
        <w:rPr>
          <w:rFonts w:hint="eastAsia" w:ascii="宋体" w:hAnsi="宋体"/>
          <w:b/>
          <w:sz w:val="32"/>
          <w:szCs w:val="32"/>
        </w:rPr>
        <w:t>采 购 人：</w:t>
      </w:r>
      <w:r>
        <w:rPr>
          <w:rFonts w:hint="eastAsia" w:ascii="宋体" w:hAnsi="宋体"/>
          <w:b/>
          <w:sz w:val="32"/>
          <w:szCs w:val="32"/>
          <w:u w:val="single"/>
          <w:lang w:eastAsia="zh-CN"/>
        </w:rPr>
        <w:t>界首市光武镇人民政府</w:t>
      </w:r>
    </w:p>
    <w:p>
      <w:pPr>
        <w:jc w:val="center"/>
        <w:rPr>
          <w:rFonts w:ascii="宋体" w:hAnsi="宋体"/>
          <w:b/>
          <w:sz w:val="32"/>
          <w:szCs w:val="32"/>
        </w:rPr>
      </w:pPr>
      <w:r>
        <w:rPr>
          <w:rFonts w:hint="eastAsia" w:ascii="宋体" w:hAnsi="宋体"/>
          <w:b/>
          <w:sz w:val="32"/>
          <w:szCs w:val="32"/>
        </w:rPr>
        <w:t>招标代理机构：</w:t>
      </w:r>
      <w:r>
        <w:rPr>
          <w:rFonts w:hint="eastAsia" w:ascii="宋体" w:hAnsi="宋体"/>
          <w:b/>
          <w:sz w:val="32"/>
          <w:szCs w:val="32"/>
          <w:u w:val="single"/>
          <w:lang w:eastAsia="zh-CN"/>
        </w:rPr>
        <w:t>安徽省正煦工程项目管理有限公司</w:t>
      </w:r>
    </w:p>
    <w:p>
      <w:pPr>
        <w:rPr>
          <w:rFonts w:ascii="宋体" w:hAnsi="宋体"/>
          <w:b/>
          <w:sz w:val="32"/>
          <w:szCs w:val="32"/>
          <w:u w:val="single"/>
        </w:rPr>
      </w:pPr>
    </w:p>
    <w:p>
      <w:pPr>
        <w:spacing w:line="440" w:lineRule="exact"/>
        <w:ind w:right="42" w:rightChars="20"/>
        <w:jc w:val="center"/>
        <w:rPr>
          <w:rFonts w:ascii="宋体" w:hAnsi="宋体" w:cs="Arial"/>
          <w:b/>
          <w:sz w:val="32"/>
          <w:szCs w:val="32"/>
        </w:rPr>
      </w:pPr>
    </w:p>
    <w:p>
      <w:pPr>
        <w:spacing w:line="440" w:lineRule="exact"/>
        <w:ind w:right="42" w:rightChars="20"/>
        <w:jc w:val="center"/>
        <w:rPr>
          <w:rFonts w:ascii="宋体" w:hAnsi="宋体" w:cs="Arial"/>
          <w:b/>
          <w:sz w:val="32"/>
          <w:szCs w:val="32"/>
        </w:rPr>
      </w:pPr>
    </w:p>
    <w:p>
      <w:pPr>
        <w:spacing w:line="440" w:lineRule="exact"/>
        <w:ind w:right="42" w:rightChars="20"/>
        <w:jc w:val="center"/>
        <w:rPr>
          <w:rFonts w:ascii="宋体" w:hAnsi="宋体" w:cs="Arial"/>
          <w:b/>
          <w:sz w:val="32"/>
          <w:szCs w:val="32"/>
        </w:rPr>
      </w:pPr>
      <w:r>
        <w:rPr>
          <w:rFonts w:ascii="宋体" w:hAnsi="宋体" w:cs="Arial"/>
          <w:b/>
          <w:sz w:val="32"/>
          <w:szCs w:val="32"/>
        </w:rPr>
        <w:t>20</w:t>
      </w:r>
      <w:r>
        <w:rPr>
          <w:rFonts w:hint="eastAsia" w:ascii="宋体" w:hAnsi="宋体" w:cs="Arial"/>
          <w:b/>
          <w:sz w:val="32"/>
          <w:szCs w:val="32"/>
        </w:rPr>
        <w:t>22年</w:t>
      </w:r>
      <w:r>
        <w:rPr>
          <w:rFonts w:hint="eastAsia" w:ascii="宋体" w:hAnsi="宋体" w:cs="Arial"/>
          <w:b/>
          <w:sz w:val="32"/>
          <w:szCs w:val="32"/>
          <w:u w:val="single"/>
          <w:lang w:val="en-US" w:eastAsia="zh-CN"/>
        </w:rPr>
        <w:t>11</w:t>
      </w:r>
      <w:r>
        <w:rPr>
          <w:rFonts w:hint="eastAsia" w:ascii="宋体" w:hAnsi="宋体" w:cs="Arial"/>
          <w:b/>
          <w:sz w:val="32"/>
          <w:szCs w:val="32"/>
        </w:rPr>
        <w:t>月</w:t>
      </w:r>
      <w:r>
        <w:rPr>
          <w:rFonts w:ascii="宋体" w:hAnsi="宋体" w:cs="Arial"/>
          <w:b/>
          <w:sz w:val="32"/>
          <w:szCs w:val="32"/>
        </w:rPr>
        <w:t xml:space="preserve"> </w:t>
      </w:r>
    </w:p>
    <w:p>
      <w:pPr>
        <w:widowControl/>
        <w:jc w:val="left"/>
        <w:rPr>
          <w:rFonts w:ascii="宋体" w:hAnsi="宋体"/>
          <w:sz w:val="32"/>
          <w:szCs w:val="32"/>
        </w:rPr>
      </w:pPr>
      <w:r>
        <w:rPr>
          <w:rFonts w:ascii="宋体" w:hAnsi="宋体"/>
          <w:sz w:val="32"/>
          <w:szCs w:val="32"/>
        </w:rPr>
        <w:br w:type="page"/>
      </w:r>
    </w:p>
    <w:p>
      <w:pPr>
        <w:tabs>
          <w:tab w:val="left" w:pos="563"/>
        </w:tabs>
        <w:spacing w:before="54"/>
        <w:ind w:right="133"/>
        <w:jc w:val="center"/>
        <w:rPr>
          <w:rFonts w:ascii="宋体" w:hAnsi="宋体"/>
          <w:b/>
          <w:sz w:val="32"/>
        </w:rPr>
      </w:pPr>
    </w:p>
    <w:p>
      <w:pPr>
        <w:tabs>
          <w:tab w:val="left" w:pos="563"/>
        </w:tabs>
        <w:spacing w:before="54"/>
        <w:ind w:right="133"/>
        <w:jc w:val="center"/>
        <w:rPr>
          <w:rFonts w:ascii="宋体" w:hAnsi="宋体"/>
          <w:b/>
          <w:sz w:val="32"/>
        </w:rPr>
      </w:pPr>
    </w:p>
    <w:p>
      <w:pPr>
        <w:tabs>
          <w:tab w:val="left" w:pos="563"/>
        </w:tabs>
        <w:spacing w:before="54"/>
        <w:ind w:right="133"/>
        <w:jc w:val="center"/>
        <w:rPr>
          <w:rFonts w:ascii="宋体" w:hAnsi="宋体"/>
          <w:b/>
          <w:sz w:val="32"/>
        </w:rPr>
      </w:pPr>
      <w:r>
        <w:rPr>
          <w:rFonts w:ascii="宋体" w:hAnsi="宋体"/>
          <w:b/>
          <w:sz w:val="32"/>
        </w:rPr>
        <w:t>目</w:t>
      </w:r>
      <w:r>
        <w:rPr>
          <w:rFonts w:ascii="宋体" w:hAnsi="宋体"/>
          <w:b/>
          <w:sz w:val="32"/>
        </w:rPr>
        <w:tab/>
      </w:r>
      <w:r>
        <w:rPr>
          <w:rFonts w:ascii="宋体" w:hAnsi="宋体"/>
          <w:b/>
          <w:sz w:val="32"/>
        </w:rPr>
        <w:t>录</w:t>
      </w:r>
    </w:p>
    <w:p>
      <w:pPr>
        <w:pStyle w:val="14"/>
        <w:tabs>
          <w:tab w:val="right" w:leader="dot" w:pos="8890"/>
        </w:tabs>
        <w:spacing w:line="480" w:lineRule="auto"/>
        <w:rPr>
          <w:b/>
          <w:bCs/>
        </w:rPr>
      </w:pPr>
      <w:bookmarkStart w:id="73" w:name="_GoBack"/>
      <w:r>
        <w:rPr>
          <w:b/>
          <w:bCs/>
        </w:rPr>
        <w:fldChar w:fldCharType="begin"/>
      </w:r>
      <w:r>
        <w:rPr>
          <w:b/>
          <w:bCs/>
        </w:rPr>
        <w:instrText xml:space="preserve">TOC \o "1-1" \h \u </w:instrText>
      </w:r>
      <w:r>
        <w:rPr>
          <w:b/>
          <w:bCs/>
        </w:rPr>
        <w:fldChar w:fldCharType="separate"/>
      </w:r>
      <w:r>
        <w:rPr>
          <w:b/>
          <w:bCs/>
        </w:rPr>
        <w:fldChar w:fldCharType="begin"/>
      </w:r>
      <w:r>
        <w:rPr>
          <w:b/>
          <w:bCs/>
        </w:rPr>
        <w:instrText xml:space="preserve"> HYPERLINK \l _Toc29615 </w:instrText>
      </w:r>
      <w:r>
        <w:rPr>
          <w:b/>
          <w:bCs/>
        </w:rPr>
        <w:fldChar w:fldCharType="separate"/>
      </w:r>
      <w:r>
        <w:rPr>
          <w:rFonts w:hint="eastAsia" w:ascii="宋体" w:hAnsi="宋体"/>
          <w:b/>
          <w:bCs/>
          <w:szCs w:val="32"/>
        </w:rPr>
        <w:t>第一章 竞争性磋商公告</w:t>
      </w:r>
      <w:r>
        <w:rPr>
          <w:b/>
          <w:bCs/>
        </w:rPr>
        <w:tab/>
      </w:r>
      <w:r>
        <w:rPr>
          <w:b/>
          <w:bCs/>
        </w:rPr>
        <w:fldChar w:fldCharType="begin"/>
      </w:r>
      <w:r>
        <w:rPr>
          <w:b/>
          <w:bCs/>
        </w:rPr>
        <w:instrText xml:space="preserve"> PAGEREF _Toc29615 \h </w:instrText>
      </w:r>
      <w:r>
        <w:rPr>
          <w:b/>
          <w:bCs/>
        </w:rPr>
        <w:fldChar w:fldCharType="separate"/>
      </w:r>
      <w:r>
        <w:rPr>
          <w:b/>
          <w:bCs/>
        </w:rPr>
        <w:t>3</w:t>
      </w:r>
      <w:r>
        <w:rPr>
          <w:b/>
          <w:bCs/>
        </w:rPr>
        <w:fldChar w:fldCharType="end"/>
      </w:r>
      <w:r>
        <w:rPr>
          <w:b/>
          <w:bCs/>
        </w:rPr>
        <w:fldChar w:fldCharType="end"/>
      </w:r>
    </w:p>
    <w:p>
      <w:pPr>
        <w:pStyle w:val="14"/>
        <w:tabs>
          <w:tab w:val="right" w:leader="dot" w:pos="8890"/>
        </w:tabs>
        <w:spacing w:line="480" w:lineRule="auto"/>
        <w:rPr>
          <w:b/>
          <w:bCs/>
        </w:rPr>
      </w:pPr>
      <w:r>
        <w:rPr>
          <w:b/>
          <w:bCs/>
        </w:rPr>
        <w:fldChar w:fldCharType="begin"/>
      </w:r>
      <w:r>
        <w:rPr>
          <w:b/>
          <w:bCs/>
        </w:rPr>
        <w:instrText xml:space="preserve"> HYPERLINK \l _Toc9012 </w:instrText>
      </w:r>
      <w:r>
        <w:rPr>
          <w:b/>
          <w:bCs/>
        </w:rPr>
        <w:fldChar w:fldCharType="separate"/>
      </w:r>
      <w:r>
        <w:rPr>
          <w:rFonts w:ascii="宋体" w:hAnsi="宋体"/>
          <w:b/>
          <w:bCs/>
          <w:szCs w:val="32"/>
        </w:rPr>
        <w:t>第二章</w:t>
      </w:r>
      <w:r>
        <w:rPr>
          <w:rFonts w:hint="eastAsia" w:ascii="宋体" w:hAnsi="宋体"/>
          <w:b/>
          <w:bCs/>
          <w:szCs w:val="32"/>
        </w:rPr>
        <w:t xml:space="preserve"> </w:t>
      </w:r>
      <w:r>
        <w:rPr>
          <w:rFonts w:ascii="宋体" w:hAnsi="宋体"/>
          <w:b/>
          <w:bCs/>
          <w:szCs w:val="32"/>
        </w:rPr>
        <w:t>供应商须知</w:t>
      </w:r>
      <w:r>
        <w:rPr>
          <w:b/>
          <w:bCs/>
        </w:rPr>
        <w:tab/>
      </w:r>
      <w:r>
        <w:rPr>
          <w:b/>
          <w:bCs/>
        </w:rPr>
        <w:fldChar w:fldCharType="begin"/>
      </w:r>
      <w:r>
        <w:rPr>
          <w:b/>
          <w:bCs/>
        </w:rPr>
        <w:instrText xml:space="preserve"> PAGEREF _Toc9012 \h </w:instrText>
      </w:r>
      <w:r>
        <w:rPr>
          <w:b/>
          <w:bCs/>
        </w:rPr>
        <w:fldChar w:fldCharType="separate"/>
      </w:r>
      <w:r>
        <w:rPr>
          <w:b/>
          <w:bCs/>
        </w:rPr>
        <w:t>5</w:t>
      </w:r>
      <w:r>
        <w:rPr>
          <w:b/>
          <w:bCs/>
        </w:rPr>
        <w:fldChar w:fldCharType="end"/>
      </w:r>
      <w:r>
        <w:rPr>
          <w:b/>
          <w:bCs/>
        </w:rPr>
        <w:fldChar w:fldCharType="end"/>
      </w:r>
    </w:p>
    <w:p>
      <w:pPr>
        <w:pStyle w:val="14"/>
        <w:tabs>
          <w:tab w:val="right" w:pos="2800"/>
          <w:tab w:val="right" w:leader="dot" w:pos="8890"/>
        </w:tabs>
        <w:spacing w:line="480" w:lineRule="auto"/>
        <w:rPr>
          <w:b/>
          <w:bCs/>
        </w:rPr>
      </w:pPr>
      <w:r>
        <w:rPr>
          <w:b/>
          <w:bCs/>
        </w:rPr>
        <w:fldChar w:fldCharType="begin"/>
      </w:r>
      <w:r>
        <w:rPr>
          <w:b/>
          <w:bCs/>
        </w:rPr>
        <w:instrText xml:space="preserve"> HYPERLINK \l _Toc30315 </w:instrText>
      </w:r>
      <w:r>
        <w:rPr>
          <w:b/>
          <w:bCs/>
        </w:rPr>
        <w:fldChar w:fldCharType="separate"/>
      </w:r>
      <w:r>
        <w:rPr>
          <w:rFonts w:ascii="宋体" w:hAnsi="宋体"/>
          <w:b/>
          <w:bCs/>
          <w:szCs w:val="32"/>
        </w:rPr>
        <w:t>第三章</w:t>
      </w:r>
      <w:r>
        <w:rPr>
          <w:rFonts w:ascii="宋体" w:hAnsi="宋体"/>
          <w:b/>
          <w:bCs/>
          <w:szCs w:val="32"/>
        </w:rPr>
        <w:tab/>
      </w:r>
      <w:r>
        <w:rPr>
          <w:rFonts w:hint="eastAsia" w:ascii="宋体" w:hAnsi="宋体"/>
          <w:b/>
          <w:bCs/>
          <w:szCs w:val="32"/>
        </w:rPr>
        <w:t xml:space="preserve"> </w:t>
      </w:r>
      <w:r>
        <w:rPr>
          <w:rFonts w:ascii="宋体" w:hAnsi="宋体"/>
          <w:b/>
          <w:bCs/>
          <w:szCs w:val="32"/>
        </w:rPr>
        <w:t>采购需求</w:t>
      </w:r>
      <w:r>
        <w:rPr>
          <w:b/>
          <w:bCs/>
        </w:rPr>
        <w:tab/>
      </w:r>
      <w:r>
        <w:rPr>
          <w:b/>
          <w:bCs/>
        </w:rPr>
        <w:fldChar w:fldCharType="begin"/>
      </w:r>
      <w:r>
        <w:rPr>
          <w:b/>
          <w:bCs/>
        </w:rPr>
        <w:instrText xml:space="preserve"> PAGEREF _Toc30315 \h </w:instrText>
      </w:r>
      <w:r>
        <w:rPr>
          <w:b/>
          <w:bCs/>
        </w:rPr>
        <w:fldChar w:fldCharType="separate"/>
      </w:r>
      <w:r>
        <w:rPr>
          <w:b/>
          <w:bCs/>
        </w:rPr>
        <w:t>18</w:t>
      </w:r>
      <w:r>
        <w:rPr>
          <w:b/>
          <w:bCs/>
        </w:rPr>
        <w:fldChar w:fldCharType="end"/>
      </w:r>
      <w:r>
        <w:rPr>
          <w:b/>
          <w:bCs/>
        </w:rPr>
        <w:fldChar w:fldCharType="end"/>
      </w:r>
    </w:p>
    <w:p>
      <w:pPr>
        <w:pStyle w:val="14"/>
        <w:tabs>
          <w:tab w:val="right" w:pos="2800"/>
          <w:tab w:val="right" w:leader="dot" w:pos="8890"/>
        </w:tabs>
        <w:spacing w:line="480" w:lineRule="auto"/>
        <w:rPr>
          <w:b/>
          <w:bCs/>
        </w:rPr>
      </w:pPr>
      <w:r>
        <w:rPr>
          <w:b/>
          <w:bCs/>
        </w:rPr>
        <w:fldChar w:fldCharType="begin"/>
      </w:r>
      <w:r>
        <w:rPr>
          <w:b/>
          <w:bCs/>
        </w:rPr>
        <w:instrText xml:space="preserve"> HYPERLINK \l _Toc7003 </w:instrText>
      </w:r>
      <w:r>
        <w:rPr>
          <w:b/>
          <w:bCs/>
        </w:rPr>
        <w:fldChar w:fldCharType="separate"/>
      </w:r>
      <w:r>
        <w:rPr>
          <w:rFonts w:ascii="宋体" w:hAnsi="宋体"/>
          <w:b/>
          <w:bCs/>
          <w:szCs w:val="32"/>
        </w:rPr>
        <w:t>第四章</w:t>
      </w:r>
      <w:r>
        <w:rPr>
          <w:rFonts w:ascii="宋体" w:hAnsi="宋体"/>
          <w:b/>
          <w:bCs/>
          <w:szCs w:val="32"/>
        </w:rPr>
        <w:tab/>
      </w:r>
      <w:r>
        <w:rPr>
          <w:rFonts w:hint="eastAsia" w:ascii="宋体" w:hAnsi="宋体"/>
          <w:b/>
          <w:bCs/>
          <w:szCs w:val="32"/>
        </w:rPr>
        <w:t xml:space="preserve"> </w:t>
      </w:r>
      <w:r>
        <w:rPr>
          <w:rFonts w:ascii="宋体" w:hAnsi="宋体"/>
          <w:b/>
          <w:bCs/>
          <w:szCs w:val="32"/>
        </w:rPr>
        <w:t>评审方法和标准</w:t>
      </w:r>
      <w:r>
        <w:rPr>
          <w:b/>
          <w:bCs/>
        </w:rPr>
        <w:tab/>
      </w:r>
      <w:r>
        <w:rPr>
          <w:b/>
          <w:bCs/>
        </w:rPr>
        <w:fldChar w:fldCharType="begin"/>
      </w:r>
      <w:r>
        <w:rPr>
          <w:b/>
          <w:bCs/>
        </w:rPr>
        <w:instrText xml:space="preserve"> PAGEREF _Toc7003 \h </w:instrText>
      </w:r>
      <w:r>
        <w:rPr>
          <w:b/>
          <w:bCs/>
        </w:rPr>
        <w:fldChar w:fldCharType="separate"/>
      </w:r>
      <w:r>
        <w:rPr>
          <w:b/>
          <w:bCs/>
        </w:rPr>
        <w:t>20</w:t>
      </w:r>
      <w:r>
        <w:rPr>
          <w:b/>
          <w:bCs/>
        </w:rPr>
        <w:fldChar w:fldCharType="end"/>
      </w:r>
      <w:r>
        <w:rPr>
          <w:b/>
          <w:bCs/>
        </w:rPr>
        <w:fldChar w:fldCharType="end"/>
      </w:r>
    </w:p>
    <w:p>
      <w:pPr>
        <w:pStyle w:val="14"/>
        <w:tabs>
          <w:tab w:val="right" w:leader="dot" w:pos="8890"/>
        </w:tabs>
        <w:spacing w:line="480" w:lineRule="auto"/>
        <w:rPr>
          <w:b/>
          <w:bCs/>
        </w:rPr>
      </w:pPr>
      <w:r>
        <w:rPr>
          <w:b/>
          <w:bCs/>
        </w:rPr>
        <w:fldChar w:fldCharType="begin"/>
      </w:r>
      <w:r>
        <w:rPr>
          <w:b/>
          <w:bCs/>
        </w:rPr>
        <w:instrText xml:space="preserve"> HYPERLINK \l _Toc15784 </w:instrText>
      </w:r>
      <w:r>
        <w:rPr>
          <w:b/>
          <w:bCs/>
        </w:rPr>
        <w:fldChar w:fldCharType="separate"/>
      </w:r>
      <w:r>
        <w:rPr>
          <w:rFonts w:ascii="宋体" w:hAnsi="宋体"/>
          <w:b/>
          <w:bCs/>
          <w:szCs w:val="32"/>
        </w:rPr>
        <w:t>第五章采购合同</w:t>
      </w:r>
      <w:r>
        <w:rPr>
          <w:b/>
          <w:bCs/>
        </w:rPr>
        <w:tab/>
      </w:r>
      <w:r>
        <w:rPr>
          <w:b/>
          <w:bCs/>
        </w:rPr>
        <w:fldChar w:fldCharType="begin"/>
      </w:r>
      <w:r>
        <w:rPr>
          <w:b/>
          <w:bCs/>
        </w:rPr>
        <w:instrText xml:space="preserve"> PAGEREF _Toc15784 \h </w:instrText>
      </w:r>
      <w:r>
        <w:rPr>
          <w:b/>
          <w:bCs/>
        </w:rPr>
        <w:fldChar w:fldCharType="separate"/>
      </w:r>
      <w:r>
        <w:rPr>
          <w:b/>
          <w:bCs/>
        </w:rPr>
        <w:t>25</w:t>
      </w:r>
      <w:r>
        <w:rPr>
          <w:b/>
          <w:bCs/>
        </w:rPr>
        <w:fldChar w:fldCharType="end"/>
      </w:r>
      <w:r>
        <w:rPr>
          <w:b/>
          <w:bCs/>
        </w:rPr>
        <w:fldChar w:fldCharType="end"/>
      </w:r>
    </w:p>
    <w:p>
      <w:pPr>
        <w:pStyle w:val="14"/>
        <w:tabs>
          <w:tab w:val="right" w:pos="2800"/>
          <w:tab w:val="right" w:leader="dot" w:pos="8890"/>
        </w:tabs>
        <w:spacing w:line="480" w:lineRule="auto"/>
        <w:rPr>
          <w:b/>
          <w:bCs/>
        </w:rPr>
      </w:pPr>
      <w:r>
        <w:rPr>
          <w:b/>
          <w:bCs/>
        </w:rPr>
        <w:fldChar w:fldCharType="begin"/>
      </w:r>
      <w:r>
        <w:rPr>
          <w:b/>
          <w:bCs/>
        </w:rPr>
        <w:instrText xml:space="preserve"> HYPERLINK \l _Toc27188 </w:instrText>
      </w:r>
      <w:r>
        <w:rPr>
          <w:b/>
          <w:bCs/>
        </w:rPr>
        <w:fldChar w:fldCharType="separate"/>
      </w:r>
      <w:r>
        <w:rPr>
          <w:rFonts w:ascii="宋体" w:hAnsi="宋体"/>
          <w:b/>
          <w:bCs/>
          <w:szCs w:val="32"/>
        </w:rPr>
        <w:t>第六章</w:t>
      </w:r>
      <w:r>
        <w:rPr>
          <w:rFonts w:ascii="宋体" w:hAnsi="宋体"/>
          <w:b/>
          <w:bCs/>
          <w:szCs w:val="32"/>
        </w:rPr>
        <w:tab/>
      </w:r>
      <w:r>
        <w:rPr>
          <w:rFonts w:hint="eastAsia" w:ascii="宋体" w:hAnsi="宋体"/>
          <w:b/>
          <w:bCs/>
          <w:szCs w:val="32"/>
        </w:rPr>
        <w:t xml:space="preserve"> </w:t>
      </w:r>
      <w:r>
        <w:rPr>
          <w:rFonts w:ascii="宋体" w:hAnsi="宋体"/>
          <w:b/>
          <w:bCs/>
          <w:szCs w:val="32"/>
        </w:rPr>
        <w:t>响应文件格式</w:t>
      </w:r>
      <w:r>
        <w:rPr>
          <w:b/>
          <w:bCs/>
        </w:rPr>
        <w:tab/>
      </w:r>
      <w:r>
        <w:rPr>
          <w:b/>
          <w:bCs/>
        </w:rPr>
        <w:fldChar w:fldCharType="begin"/>
      </w:r>
      <w:r>
        <w:rPr>
          <w:b/>
          <w:bCs/>
        </w:rPr>
        <w:instrText xml:space="preserve"> PAGEREF _Toc27188 \h </w:instrText>
      </w:r>
      <w:r>
        <w:rPr>
          <w:b/>
          <w:bCs/>
        </w:rPr>
        <w:fldChar w:fldCharType="separate"/>
      </w:r>
      <w:r>
        <w:rPr>
          <w:b/>
          <w:bCs/>
        </w:rPr>
        <w:t>34</w:t>
      </w:r>
      <w:r>
        <w:rPr>
          <w:b/>
          <w:bCs/>
        </w:rPr>
        <w:fldChar w:fldCharType="end"/>
      </w:r>
      <w:r>
        <w:rPr>
          <w:b/>
          <w:bCs/>
        </w:rPr>
        <w:fldChar w:fldCharType="end"/>
      </w:r>
    </w:p>
    <w:p>
      <w:pPr>
        <w:spacing w:line="480" w:lineRule="auto"/>
        <w:rPr>
          <w:b/>
          <w:bCs/>
        </w:rPr>
      </w:pPr>
      <w:r>
        <w:rPr>
          <w:b/>
          <w:bCs/>
        </w:rPr>
        <w:fldChar w:fldCharType="end"/>
      </w:r>
      <w:bookmarkEnd w:id="73"/>
    </w:p>
    <w:p>
      <w:pPr>
        <w:widowControl/>
        <w:jc w:val="left"/>
        <w:rPr>
          <w:rFonts w:ascii="宋体" w:hAnsi="宋体"/>
        </w:rPr>
        <w:sectPr>
          <w:pgSz w:w="11910" w:h="16840"/>
          <w:pgMar w:top="1380" w:right="1440" w:bottom="1500" w:left="1580" w:header="877" w:footer="1304" w:gutter="0"/>
          <w:cols w:space="720" w:num="1"/>
        </w:sectPr>
      </w:pPr>
    </w:p>
    <w:p>
      <w:pPr>
        <w:pStyle w:val="2"/>
      </w:pPr>
    </w:p>
    <w:p>
      <w:pPr>
        <w:pStyle w:val="3"/>
        <w:numPr>
          <w:ilvl w:val="0"/>
          <w:numId w:val="1"/>
        </w:numPr>
        <w:tabs>
          <w:tab w:val="left" w:pos="0"/>
        </w:tabs>
        <w:autoSpaceDE w:val="0"/>
        <w:autoSpaceDN w:val="0"/>
        <w:adjustRightInd w:val="0"/>
        <w:spacing w:before="0" w:after="0" w:line="360" w:lineRule="auto"/>
        <w:jc w:val="center"/>
        <w:rPr>
          <w:rFonts w:hint="eastAsia" w:ascii="宋体" w:hAnsi="宋体"/>
          <w:sz w:val="32"/>
          <w:szCs w:val="32"/>
        </w:rPr>
      </w:pPr>
      <w:bookmarkStart w:id="0" w:name="_Toc29615"/>
      <w:bookmarkStart w:id="1" w:name="OLE_LINK1"/>
      <w:r>
        <w:rPr>
          <w:rFonts w:hint="eastAsia" w:ascii="宋体" w:hAnsi="宋体"/>
          <w:sz w:val="32"/>
          <w:szCs w:val="32"/>
        </w:rPr>
        <w:t>竞争性磋商公告</w:t>
      </w:r>
      <w:bookmarkEnd w:id="0"/>
    </w:p>
    <w:p>
      <w:pPr>
        <w:rPr>
          <w:rFonts w:hint="eastAsia"/>
        </w:rPr>
      </w:pPr>
    </w:p>
    <w:p>
      <w:pPr>
        <w:spacing w:line="360" w:lineRule="auto"/>
        <w:ind w:firstLine="420" w:firstLineChars="200"/>
        <w:rPr>
          <w:rFonts w:hint="eastAsia" w:ascii="宋体" w:hAnsi="宋体" w:eastAsia="宋体" w:cs="Times New Roman"/>
        </w:rPr>
      </w:pPr>
      <w:r>
        <w:rPr>
          <w:rFonts w:hint="eastAsia" w:ascii="宋体" w:hAnsi="宋体" w:eastAsia="宋体" w:cs="Times New Roman"/>
        </w:rPr>
        <w:t>项目概况</w:t>
      </w:r>
    </w:p>
    <w:p>
      <w:pPr>
        <w:spacing w:line="360" w:lineRule="auto"/>
        <w:ind w:firstLine="420" w:firstLineChars="200"/>
        <w:rPr>
          <w:rFonts w:hint="eastAsia" w:ascii="宋体" w:hAnsi="宋体" w:eastAsia="宋体" w:cs="Times New Roman"/>
        </w:rPr>
      </w:pPr>
      <w:r>
        <w:rPr>
          <w:rFonts w:hint="eastAsia" w:ascii="宋体" w:hAnsi="宋体" w:eastAsia="宋体" w:cs="Times New Roman"/>
        </w:rPr>
        <w:t>界首市光武镇废品收购站（点）综合整治项目的潜在供应商应在</w:t>
      </w:r>
      <w:r>
        <w:rPr>
          <w:rFonts w:hint="eastAsia" w:ascii="宋体" w:hAnsi="宋体" w:cs="Times New Roman"/>
          <w:b/>
          <w:bCs/>
          <w:lang w:val="en-US" w:eastAsia="zh-CN"/>
        </w:rPr>
        <w:t>《界首市人民政府网》《农业全程网》</w:t>
      </w:r>
      <w:r>
        <w:rPr>
          <w:rFonts w:hint="eastAsia" w:ascii="宋体" w:hAnsi="宋体" w:eastAsia="宋体" w:cs="Times New Roman"/>
          <w:lang w:val="en-US"/>
        </w:rPr>
        <w:t>网站获取采购文件</w:t>
      </w:r>
      <w:r>
        <w:rPr>
          <w:rFonts w:hint="eastAsia" w:ascii="宋体" w:hAnsi="宋体" w:eastAsia="宋体" w:cs="Times New Roman"/>
        </w:rPr>
        <w:t>，并于2022年12月</w:t>
      </w:r>
      <w:r>
        <w:rPr>
          <w:rFonts w:hint="eastAsia" w:ascii="宋体" w:hAnsi="宋体" w:cs="Times New Roman"/>
          <w:lang w:val="en-US" w:eastAsia="zh-CN"/>
        </w:rPr>
        <w:t>5</w:t>
      </w:r>
      <w:r>
        <w:rPr>
          <w:rFonts w:hint="eastAsia" w:ascii="宋体" w:hAnsi="宋体" w:eastAsia="宋体" w:cs="Times New Roman"/>
        </w:rPr>
        <w:t>日15点00分 （北京时间）前提交响应文件。</w:t>
      </w:r>
    </w:p>
    <w:p>
      <w:pPr>
        <w:rPr>
          <w:rFonts w:ascii="宋体" w:hAnsi="宋体"/>
        </w:rPr>
      </w:pPr>
    </w:p>
    <w:p>
      <w:pPr>
        <w:pStyle w:val="4"/>
        <w:spacing w:line="360" w:lineRule="auto"/>
        <w:rPr>
          <w:rFonts w:ascii="宋体" w:hAnsi="宋体" w:eastAsia="宋体" w:cs="宋体"/>
          <w:bCs w:val="0"/>
          <w:sz w:val="21"/>
          <w:szCs w:val="21"/>
        </w:rPr>
      </w:pPr>
      <w:bookmarkStart w:id="2" w:name="_Toc28359089"/>
      <w:bookmarkStart w:id="3" w:name="_Toc28359012"/>
      <w:bookmarkStart w:id="4" w:name="_Toc35393629"/>
      <w:bookmarkStart w:id="5" w:name="_Toc35393798"/>
      <w:r>
        <w:rPr>
          <w:rFonts w:hint="eastAsia" w:ascii="宋体" w:hAnsi="宋体" w:eastAsia="宋体" w:cs="宋体"/>
          <w:bCs w:val="0"/>
          <w:sz w:val="21"/>
          <w:szCs w:val="21"/>
        </w:rPr>
        <w:t>一、项目基本情况</w:t>
      </w:r>
      <w:bookmarkEnd w:id="2"/>
      <w:bookmarkEnd w:id="3"/>
      <w:bookmarkEnd w:id="4"/>
      <w:bookmarkEnd w:id="5"/>
    </w:p>
    <w:p>
      <w:pPr>
        <w:spacing w:line="360" w:lineRule="auto"/>
        <w:ind w:firstLine="420" w:firstLineChars="200"/>
        <w:rPr>
          <w:rFonts w:ascii="宋体" w:hAnsi="宋体"/>
        </w:rPr>
      </w:pPr>
      <w:r>
        <w:rPr>
          <w:rFonts w:hint="eastAsia" w:ascii="宋体" w:hAnsi="宋体"/>
        </w:rPr>
        <w:t>项目编号：</w:t>
      </w:r>
      <w:r>
        <w:rPr>
          <w:rFonts w:hint="eastAsia" w:ascii="宋体" w:hAnsi="宋体"/>
          <w:lang w:eastAsia="zh-CN"/>
        </w:rPr>
        <w:t>341282100j20221102</w:t>
      </w:r>
      <w:r>
        <w:rPr>
          <w:rFonts w:hint="eastAsia" w:ascii="宋体" w:hAnsi="宋体"/>
        </w:rPr>
        <w:t xml:space="preserve"> </w:t>
      </w:r>
    </w:p>
    <w:p>
      <w:pPr>
        <w:spacing w:line="360" w:lineRule="auto"/>
        <w:ind w:firstLine="420" w:firstLineChars="200"/>
        <w:rPr>
          <w:rFonts w:hint="eastAsia" w:ascii="宋体" w:hAnsi="宋体"/>
        </w:rPr>
      </w:pPr>
      <w:r>
        <w:rPr>
          <w:rFonts w:hint="eastAsia" w:ascii="宋体" w:hAnsi="宋体"/>
        </w:rPr>
        <w:t>项目名称：</w:t>
      </w:r>
      <w:r>
        <w:rPr>
          <w:rFonts w:hint="eastAsia" w:ascii="宋体" w:hAnsi="宋体"/>
          <w:lang w:eastAsia="zh-CN"/>
        </w:rPr>
        <w:t>界首市光武镇废品收购站（点）综合整治项目</w:t>
      </w:r>
    </w:p>
    <w:p>
      <w:pPr>
        <w:spacing w:line="360" w:lineRule="auto"/>
        <w:ind w:firstLine="420" w:firstLineChars="200"/>
        <w:rPr>
          <w:rFonts w:ascii="宋体" w:hAnsi="宋体"/>
        </w:rPr>
      </w:pPr>
      <w:r>
        <w:rPr>
          <w:rFonts w:hint="eastAsia" w:ascii="宋体" w:hAnsi="宋体"/>
        </w:rPr>
        <w:t>采购方式：竞争性磋商</w:t>
      </w:r>
    </w:p>
    <w:p>
      <w:pPr>
        <w:spacing w:line="360" w:lineRule="auto"/>
        <w:ind w:firstLine="420" w:firstLineChars="200"/>
        <w:rPr>
          <w:rFonts w:hint="eastAsia" w:ascii="宋体" w:hAnsi="宋体"/>
        </w:rPr>
      </w:pPr>
      <w:r>
        <w:rPr>
          <w:rFonts w:hint="eastAsia" w:ascii="宋体" w:hAnsi="宋体"/>
        </w:rPr>
        <w:t>预算金额：</w:t>
      </w:r>
      <w:r>
        <w:rPr>
          <w:rFonts w:hint="eastAsia" w:ascii="宋体" w:hAnsi="宋体"/>
          <w:lang w:val="en-US" w:eastAsia="zh-CN"/>
        </w:rPr>
        <w:t>21.6</w:t>
      </w:r>
      <w:r>
        <w:rPr>
          <w:rFonts w:hint="eastAsia" w:ascii="宋体" w:hAnsi="宋体"/>
        </w:rPr>
        <w:t xml:space="preserve">万元 </w:t>
      </w:r>
    </w:p>
    <w:p>
      <w:pPr>
        <w:spacing w:line="360" w:lineRule="auto"/>
        <w:ind w:firstLine="420" w:firstLineChars="200"/>
        <w:rPr>
          <w:rFonts w:hint="eastAsia" w:ascii="宋体" w:hAnsi="宋体"/>
        </w:rPr>
      </w:pPr>
      <w:r>
        <w:rPr>
          <w:rFonts w:hint="eastAsia" w:ascii="宋体" w:hAnsi="宋体"/>
        </w:rPr>
        <w:t>最高限价：</w:t>
      </w:r>
      <w:r>
        <w:rPr>
          <w:rFonts w:hint="eastAsia" w:ascii="宋体" w:hAnsi="宋体"/>
          <w:lang w:val="en-US" w:eastAsia="zh-CN"/>
        </w:rPr>
        <w:t>21.6</w:t>
      </w:r>
      <w:r>
        <w:rPr>
          <w:rFonts w:hint="eastAsia" w:ascii="宋体" w:hAnsi="宋体"/>
        </w:rPr>
        <w:t xml:space="preserve">万元 </w:t>
      </w:r>
    </w:p>
    <w:p>
      <w:pPr>
        <w:spacing w:line="360" w:lineRule="auto"/>
        <w:ind w:firstLine="420" w:firstLineChars="200"/>
        <w:rPr>
          <w:rFonts w:ascii="宋体" w:hAnsi="宋体"/>
          <w:u w:val="single"/>
        </w:rPr>
      </w:pPr>
      <w:r>
        <w:rPr>
          <w:rFonts w:hint="eastAsia" w:ascii="宋体" w:hAnsi="宋体"/>
        </w:rPr>
        <w:t>采购需求：</w:t>
      </w:r>
      <w:r>
        <w:rPr>
          <w:rFonts w:hint="default" w:ascii="宋体" w:hAnsi="宋体"/>
        </w:rPr>
        <w:t>对我镇从事废塑料、废旧金属、废纸、废家电、废旧纺织品以及危化废物和有毒、易燃易爆产品的包装物等废品回收站（点）进行综合整治，推动产业结构得到优化、环境质量得到改善</w:t>
      </w:r>
    </w:p>
    <w:p>
      <w:pPr>
        <w:spacing w:line="360" w:lineRule="auto"/>
        <w:ind w:firstLine="420" w:firstLineChars="200"/>
        <w:rPr>
          <w:rFonts w:ascii="宋体" w:hAnsi="宋体"/>
          <w:u w:val="single"/>
        </w:rPr>
      </w:pPr>
      <w:r>
        <w:rPr>
          <w:rFonts w:hint="eastAsia" w:ascii="宋体" w:hAnsi="宋体"/>
        </w:rPr>
        <w:t>服务期限：</w:t>
      </w:r>
      <w:r>
        <w:rPr>
          <w:rFonts w:hint="eastAsia" w:ascii="宋体" w:hAnsi="宋体"/>
          <w:lang w:val="en-US" w:eastAsia="zh-CN"/>
        </w:rPr>
        <w:t>180</w:t>
      </w:r>
      <w:r>
        <w:rPr>
          <w:rFonts w:hint="eastAsia" w:ascii="宋体" w:hAnsi="宋体"/>
        </w:rPr>
        <w:t xml:space="preserve">日历天  </w:t>
      </w:r>
    </w:p>
    <w:p>
      <w:pPr>
        <w:spacing w:line="360" w:lineRule="auto"/>
        <w:ind w:firstLine="420" w:firstLineChars="200"/>
        <w:rPr>
          <w:rFonts w:ascii="宋体" w:hAnsi="宋体"/>
        </w:rPr>
      </w:pPr>
      <w:r>
        <w:rPr>
          <w:rFonts w:hint="eastAsia" w:ascii="宋体" w:hAnsi="宋体"/>
        </w:rPr>
        <w:t>本项目（否）接受联合体。</w:t>
      </w:r>
    </w:p>
    <w:p>
      <w:pPr>
        <w:keepNext/>
        <w:keepLines/>
        <w:spacing w:before="260" w:after="260" w:line="360" w:lineRule="auto"/>
        <w:outlineLvl w:val="1"/>
        <w:rPr>
          <w:rFonts w:hint="eastAsia" w:ascii="宋体" w:hAnsi="宋体" w:eastAsia="宋体" w:cs="Times New Roman"/>
          <w:b/>
          <w:bCs/>
          <w:szCs w:val="21"/>
          <w:lang w:val="en-US"/>
        </w:rPr>
      </w:pPr>
      <w:bookmarkStart w:id="6" w:name="_Toc35393799"/>
      <w:bookmarkStart w:id="7" w:name="_Toc28359013"/>
      <w:bookmarkStart w:id="8" w:name="_Toc28359090"/>
      <w:bookmarkStart w:id="9" w:name="_Toc35393630"/>
      <w:r>
        <w:rPr>
          <w:rFonts w:hint="eastAsia" w:ascii="宋体" w:hAnsi="宋体" w:eastAsia="宋体" w:cs="Times New Roman"/>
          <w:b/>
          <w:bCs/>
          <w:szCs w:val="21"/>
          <w:lang w:val="en-US"/>
        </w:rPr>
        <w:t>二、申请人的资格要求：</w:t>
      </w:r>
      <w:bookmarkEnd w:id="6"/>
      <w:bookmarkEnd w:id="7"/>
      <w:bookmarkEnd w:id="8"/>
      <w:bookmarkEnd w:id="9"/>
    </w:p>
    <w:p>
      <w:pPr>
        <w:spacing w:line="360" w:lineRule="auto"/>
        <w:ind w:firstLine="420" w:firstLineChars="200"/>
        <w:rPr>
          <w:rFonts w:hint="eastAsia" w:ascii="宋体" w:hAnsi="宋体" w:eastAsia="宋体" w:cs="Times New Roman"/>
          <w:szCs w:val="21"/>
          <w:lang w:val="en-US"/>
        </w:rPr>
      </w:pPr>
      <w:r>
        <w:rPr>
          <w:rFonts w:hint="eastAsia" w:ascii="宋体" w:hAnsi="宋体" w:eastAsia="宋体" w:cs="Times New Roman"/>
          <w:szCs w:val="21"/>
          <w:lang w:val="en-US"/>
        </w:rPr>
        <w:t>1.满足《中华人民共和国政府采购法》第二十二条规定；</w:t>
      </w:r>
    </w:p>
    <w:p>
      <w:pPr>
        <w:spacing w:line="360" w:lineRule="auto"/>
        <w:ind w:firstLine="420" w:firstLineChars="200"/>
        <w:rPr>
          <w:rFonts w:hint="eastAsia" w:ascii="宋体" w:hAnsi="宋体" w:eastAsia="宋体" w:cs="Times New Roman"/>
          <w:szCs w:val="21"/>
          <w:lang w:val="en-US" w:eastAsia="zh-CN"/>
        </w:rPr>
      </w:pPr>
      <w:bookmarkStart w:id="10" w:name="_Toc28359014"/>
      <w:bookmarkStart w:id="11" w:name="_Toc28359091"/>
      <w:r>
        <w:rPr>
          <w:rFonts w:hint="eastAsia" w:ascii="宋体" w:hAnsi="宋体" w:eastAsia="宋体" w:cs="Times New Roman"/>
          <w:szCs w:val="21"/>
          <w:lang w:val="en-US"/>
        </w:rPr>
        <w:t>2.投标人须具备有效的营业执照</w:t>
      </w:r>
      <w:r>
        <w:rPr>
          <w:rFonts w:hint="eastAsia" w:ascii="宋体" w:hAnsi="宋体" w:eastAsia="宋体" w:cs="Times New Roman"/>
          <w:szCs w:val="21"/>
          <w:lang w:val="en-US" w:eastAsia="zh-CN"/>
        </w:rPr>
        <w:t>。</w:t>
      </w:r>
    </w:p>
    <w:p>
      <w:pPr>
        <w:keepNext/>
        <w:keepLines/>
        <w:spacing w:before="260" w:after="260" w:line="360" w:lineRule="auto"/>
        <w:outlineLvl w:val="1"/>
        <w:rPr>
          <w:rFonts w:hint="eastAsia" w:ascii="宋体" w:hAnsi="宋体" w:eastAsia="宋体" w:cs="Times New Roman"/>
          <w:b/>
          <w:bCs/>
          <w:szCs w:val="21"/>
          <w:lang w:val="en-US"/>
        </w:rPr>
      </w:pPr>
      <w:bookmarkStart w:id="12" w:name="_Toc35393631"/>
      <w:bookmarkStart w:id="13" w:name="_Toc35393800"/>
      <w:r>
        <w:rPr>
          <w:rFonts w:hint="eastAsia" w:ascii="宋体" w:hAnsi="宋体" w:eastAsia="宋体" w:cs="Times New Roman"/>
          <w:b/>
          <w:bCs/>
          <w:szCs w:val="21"/>
          <w:lang w:val="en-US"/>
        </w:rPr>
        <w:t>三、获取采购文件</w:t>
      </w:r>
      <w:bookmarkEnd w:id="10"/>
      <w:bookmarkEnd w:id="11"/>
      <w:bookmarkEnd w:id="12"/>
      <w:bookmarkEnd w:id="13"/>
    </w:p>
    <w:p>
      <w:pPr>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r>
        <w:rPr>
          <w:rFonts w:hint="eastAsia" w:ascii="宋体" w:hAnsi="宋体" w:eastAsia="宋体" w:cs="Times New Roman"/>
          <w:szCs w:val="21"/>
          <w:lang w:val="en-US"/>
        </w:rPr>
        <w:t>自采购公告发布之日起，凡有意参加的供应商，可在</w:t>
      </w:r>
      <w:r>
        <w:rPr>
          <w:rFonts w:hint="eastAsia" w:ascii="宋体" w:hAnsi="宋体" w:cs="Times New Roman"/>
          <w:b/>
          <w:bCs/>
          <w:szCs w:val="21"/>
          <w:lang w:val="en-US" w:eastAsia="zh-CN"/>
        </w:rPr>
        <w:t>《界首市人民政府网》《农业全程网》</w:t>
      </w:r>
      <w:r>
        <w:rPr>
          <w:rFonts w:hint="eastAsia" w:ascii="宋体" w:hAnsi="宋体" w:eastAsia="宋体" w:cs="Times New Roman"/>
          <w:szCs w:val="21"/>
          <w:lang w:val="en-US"/>
        </w:rPr>
        <w:t>下载</w:t>
      </w:r>
      <w:r>
        <w:rPr>
          <w:rFonts w:hint="eastAsia" w:ascii="宋体" w:hAnsi="宋体" w:eastAsia="宋体" w:cs="Times New Roman"/>
          <w:szCs w:val="21"/>
          <w:lang w:val="en-US" w:eastAsia="zh-CN"/>
        </w:rPr>
        <w:t>竞争性磋商</w:t>
      </w:r>
      <w:r>
        <w:rPr>
          <w:rFonts w:hint="eastAsia" w:ascii="宋体" w:hAnsi="宋体" w:eastAsia="宋体" w:cs="Times New Roman"/>
          <w:szCs w:val="21"/>
          <w:lang w:val="en-US"/>
        </w:rPr>
        <w:t>文件</w:t>
      </w:r>
      <w:r>
        <w:rPr>
          <w:rFonts w:hint="eastAsia" w:ascii="宋体" w:hAnsi="宋体" w:eastAsia="宋体" w:cs="Times New Roman"/>
          <w:szCs w:val="21"/>
          <w:lang w:val="en-US" w:eastAsia="zh-CN"/>
        </w:rPr>
        <w:t>。</w:t>
      </w:r>
    </w:p>
    <w:p>
      <w:pPr>
        <w:spacing w:line="360" w:lineRule="auto"/>
        <w:ind w:firstLine="420" w:firstLineChars="200"/>
        <w:rPr>
          <w:rFonts w:ascii="仿宋" w:hAnsi="仿宋" w:eastAsia="仿宋"/>
          <w:kern w:val="2"/>
          <w:sz w:val="28"/>
          <w:szCs w:val="28"/>
          <w:lang w:val="en-US" w:bidi="ar-SA"/>
        </w:rPr>
      </w:pPr>
      <w:r>
        <w:rPr>
          <w:rFonts w:hint="eastAsia" w:ascii="宋体" w:hAnsi="宋体" w:eastAsia="宋体" w:cs="Times New Roman"/>
          <w:szCs w:val="21"/>
          <w:lang w:val="en-US" w:eastAsia="zh-CN"/>
        </w:rPr>
        <w:t>2、竞争性磋商文件发售费用500元/每份，售后不退，递交响应文件同时交纳。未交纳竞争性磋商文件费的，采购人将拒绝接受其响应文件（本项目文件发售费只接收现金）。</w:t>
      </w:r>
      <w:r>
        <w:rPr>
          <w:rFonts w:hint="eastAsia" w:ascii="仿宋" w:hAnsi="仿宋" w:eastAsia="仿宋" w:cs="Times New Roman"/>
          <w:kern w:val="2"/>
          <w:sz w:val="28"/>
          <w:szCs w:val="28"/>
          <w:lang w:val="en-US" w:bidi="ar-SA"/>
        </w:rPr>
        <w:t xml:space="preserve"> </w:t>
      </w:r>
    </w:p>
    <w:p>
      <w:pPr>
        <w:keepNext/>
        <w:keepLines/>
        <w:spacing w:before="260" w:after="260" w:line="360" w:lineRule="auto"/>
        <w:outlineLvl w:val="1"/>
        <w:rPr>
          <w:rFonts w:hint="eastAsia" w:ascii="宋体" w:hAnsi="宋体" w:eastAsia="宋体" w:cs="Times New Roman"/>
          <w:b/>
          <w:bCs/>
          <w:szCs w:val="21"/>
          <w:lang w:val="en-US"/>
        </w:rPr>
      </w:pPr>
      <w:bookmarkStart w:id="14" w:name="_Toc35393632"/>
      <w:bookmarkStart w:id="15" w:name="_Toc28359015"/>
      <w:bookmarkStart w:id="16" w:name="_Toc35393801"/>
      <w:bookmarkStart w:id="17" w:name="_Toc28359092"/>
      <w:r>
        <w:rPr>
          <w:rFonts w:hint="eastAsia" w:ascii="宋体" w:hAnsi="宋体" w:eastAsia="宋体" w:cs="Times New Roman"/>
          <w:b/>
          <w:bCs/>
          <w:szCs w:val="21"/>
          <w:lang w:val="en-US"/>
        </w:rPr>
        <w:t>四、响应文件提交</w:t>
      </w:r>
      <w:bookmarkEnd w:id="14"/>
      <w:bookmarkEnd w:id="15"/>
      <w:bookmarkEnd w:id="16"/>
      <w:bookmarkEnd w:id="17"/>
    </w:p>
    <w:p>
      <w:pPr>
        <w:spacing w:line="360" w:lineRule="auto"/>
        <w:ind w:firstLine="420" w:firstLineChars="200"/>
        <w:rPr>
          <w:rFonts w:hint="eastAsia" w:ascii="宋体" w:hAnsi="宋体" w:eastAsia="宋体" w:cs="Times New Roman"/>
          <w:color w:val="000000"/>
          <w:szCs w:val="21"/>
        </w:rPr>
      </w:pPr>
      <w:r>
        <w:rPr>
          <w:rFonts w:hint="eastAsia" w:ascii="宋体" w:hAnsi="宋体" w:eastAsia="宋体"/>
          <w:sz w:val="21"/>
          <w:szCs w:val="21"/>
        </w:rPr>
        <w:t>1</w:t>
      </w:r>
      <w:r>
        <w:rPr>
          <w:rFonts w:hint="eastAsia" w:ascii="宋体" w:hAnsi="宋体" w:eastAsia="宋体" w:cs="Times New Roman"/>
          <w:color w:val="000000"/>
          <w:szCs w:val="21"/>
        </w:rPr>
        <w:t>、截止时间：</w:t>
      </w:r>
      <w:permStart w:id="0" w:edGrp="everyone"/>
      <w:r>
        <w:rPr>
          <w:rFonts w:hint="eastAsia" w:ascii="宋体" w:hAnsi="宋体" w:eastAsia="宋体" w:cs="Times New Roman"/>
          <w:color w:val="000000"/>
          <w:szCs w:val="21"/>
          <w:lang w:val="en-US" w:eastAsia="zh-CN"/>
        </w:rPr>
        <w:t>2022</w:t>
      </w:r>
      <w:r>
        <w:rPr>
          <w:rFonts w:hint="eastAsia" w:ascii="宋体" w:hAnsi="宋体" w:eastAsia="宋体" w:cs="Times New Roman"/>
          <w:color w:val="000000"/>
          <w:szCs w:val="21"/>
        </w:rPr>
        <w:t>年</w:t>
      </w:r>
      <w:r>
        <w:rPr>
          <w:rFonts w:hint="eastAsia" w:ascii="宋体" w:hAnsi="宋体" w:eastAsia="宋体" w:cs="Times New Roman"/>
          <w:color w:val="000000"/>
          <w:szCs w:val="21"/>
          <w:lang w:val="en-US" w:eastAsia="zh-CN"/>
        </w:rPr>
        <w:t>12月</w:t>
      </w:r>
      <w:r>
        <w:rPr>
          <w:rFonts w:hint="eastAsia" w:ascii="宋体" w:hAnsi="宋体" w:cs="Times New Roman"/>
          <w:color w:val="000000"/>
          <w:szCs w:val="21"/>
          <w:lang w:val="en-US" w:eastAsia="zh-CN"/>
        </w:rPr>
        <w:t>5</w:t>
      </w:r>
      <w:r>
        <w:rPr>
          <w:rFonts w:hint="eastAsia" w:ascii="宋体" w:hAnsi="宋体" w:eastAsia="宋体" w:cs="Times New Roman"/>
          <w:color w:val="000000"/>
          <w:szCs w:val="21"/>
          <w:lang w:val="en-US" w:eastAsia="zh-CN"/>
        </w:rPr>
        <w:t>日15</w:t>
      </w:r>
      <w:r>
        <w:rPr>
          <w:rFonts w:hint="eastAsia" w:ascii="宋体" w:hAnsi="宋体" w:eastAsia="宋体" w:cs="Times New Roman"/>
          <w:color w:val="000000"/>
          <w:szCs w:val="21"/>
        </w:rPr>
        <w:t>点</w:t>
      </w:r>
      <w:r>
        <w:rPr>
          <w:rFonts w:hint="eastAsia" w:ascii="宋体" w:hAnsi="宋体" w:eastAsia="宋体" w:cs="Times New Roman"/>
          <w:color w:val="000000"/>
          <w:szCs w:val="21"/>
          <w:lang w:val="en-US" w:eastAsia="zh-CN"/>
        </w:rPr>
        <w:t>00</w:t>
      </w:r>
      <w:r>
        <w:rPr>
          <w:rFonts w:hint="eastAsia" w:ascii="宋体" w:hAnsi="宋体" w:eastAsia="宋体" w:cs="Times New Roman"/>
          <w:color w:val="000000"/>
          <w:szCs w:val="21"/>
        </w:rPr>
        <w:t>分（北京时间）</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迟于截止时间递交的响应文件，将不予接收</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lang w:val="en-US" w:eastAsia="zh-CN"/>
        </w:rPr>
        <w:t xml:space="preserve"> </w:t>
      </w:r>
      <w:permEnd w:id="0"/>
      <w:r>
        <w:rPr>
          <w:rFonts w:hint="eastAsia" w:ascii="宋体" w:hAnsi="宋体" w:eastAsia="宋体" w:cs="Times New Roman"/>
          <w:color w:val="000000"/>
          <w:szCs w:val="21"/>
        </w:rPr>
        <w:t>（从</w:t>
      </w:r>
      <w:r>
        <w:rPr>
          <w:rFonts w:hint="eastAsia" w:ascii="宋体" w:hAnsi="宋体" w:eastAsia="宋体" w:cs="Times New Roman"/>
          <w:color w:val="000000"/>
          <w:szCs w:val="21"/>
          <w:lang w:val="en-US" w:eastAsia="zh-CN"/>
        </w:rPr>
        <w:t>磋商</w:t>
      </w:r>
      <w:r>
        <w:rPr>
          <w:rFonts w:hint="eastAsia" w:ascii="宋体" w:hAnsi="宋体" w:eastAsia="宋体" w:cs="Times New Roman"/>
          <w:color w:val="000000"/>
          <w:szCs w:val="21"/>
        </w:rPr>
        <w:t>文件开始发出之日起至供应商提交首次响应文件截止之日止不得少于</w:t>
      </w:r>
      <w:r>
        <w:rPr>
          <w:rFonts w:hint="eastAsia" w:ascii="宋体" w:hAnsi="宋体" w:cs="Times New Roman"/>
          <w:color w:val="000000"/>
          <w:szCs w:val="21"/>
          <w:lang w:val="en-US" w:eastAsia="zh-CN"/>
        </w:rPr>
        <w:t>10</w:t>
      </w:r>
      <w:r>
        <w:rPr>
          <w:rFonts w:hint="eastAsia" w:ascii="宋体" w:hAnsi="宋体" w:eastAsia="宋体" w:cs="Times New Roman"/>
          <w:color w:val="000000"/>
          <w:szCs w:val="21"/>
        </w:rPr>
        <w:t>个日</w:t>
      </w:r>
      <w:r>
        <w:rPr>
          <w:rFonts w:hint="eastAsia" w:ascii="宋体" w:hAnsi="宋体" w:cs="Times New Roman"/>
          <w:color w:val="000000"/>
          <w:szCs w:val="21"/>
          <w:lang w:val="en-US" w:eastAsia="zh-CN"/>
        </w:rPr>
        <w:t>历天</w:t>
      </w:r>
      <w:r>
        <w:rPr>
          <w:rFonts w:hint="eastAsia" w:ascii="宋体" w:hAnsi="宋体" w:eastAsia="宋体" w:cs="Times New Roman"/>
          <w:color w:val="000000"/>
          <w:szCs w:val="21"/>
        </w:rPr>
        <w:t>；）</w:t>
      </w:r>
    </w:p>
    <w:p>
      <w:pPr>
        <w:spacing w:line="360" w:lineRule="auto"/>
        <w:ind w:firstLine="420" w:firstLineChars="200"/>
        <w:rPr>
          <w:rFonts w:ascii="仿宋" w:hAnsi="仿宋" w:eastAsia="仿宋" w:cs="Times New Roman"/>
          <w:bCs/>
          <w:kern w:val="2"/>
          <w:sz w:val="28"/>
          <w:szCs w:val="28"/>
          <w:u w:val="single"/>
          <w:lang w:val="en-US" w:bidi="ar-SA"/>
        </w:rPr>
      </w:pPr>
      <w:r>
        <w:rPr>
          <w:rFonts w:hint="eastAsia" w:ascii="宋体" w:hAnsi="宋体" w:eastAsia="宋体" w:cs="Times New Roman"/>
          <w:color w:val="000000"/>
          <w:szCs w:val="21"/>
        </w:rPr>
        <w:t>2、地点：</w:t>
      </w:r>
      <w:r>
        <w:rPr>
          <w:rFonts w:hint="eastAsia" w:ascii="宋体" w:hAnsi="宋体" w:eastAsia="宋体" w:cs="Times New Roman"/>
          <w:color w:val="000000"/>
          <w:szCs w:val="21"/>
          <w:lang w:val="en-US" w:eastAsia="zh-CN"/>
        </w:rPr>
        <w:t>界首市光武镇农村产权流转交易服务站（光武镇财政分局北面新时代文实践站院内）</w:t>
      </w:r>
      <w:r>
        <w:rPr>
          <w:rFonts w:hint="eastAsia" w:ascii="宋体" w:hAnsi="宋体" w:eastAsia="宋体" w:cs="Times New Roman"/>
          <w:color w:val="000000"/>
          <w:szCs w:val="21"/>
          <w:lang w:val="en-US"/>
        </w:rPr>
        <w:t xml:space="preserve">   </w:t>
      </w:r>
      <w:r>
        <w:rPr>
          <w:rFonts w:hint="eastAsia" w:ascii="仿宋" w:hAnsi="仿宋" w:eastAsia="仿宋" w:cs="Times New Roman"/>
          <w:kern w:val="2"/>
          <w:sz w:val="28"/>
          <w:szCs w:val="28"/>
          <w:lang w:val="en-US" w:bidi="ar-SA"/>
        </w:rPr>
        <w:t xml:space="preserve">                                                 </w:t>
      </w:r>
    </w:p>
    <w:p>
      <w:pPr>
        <w:keepNext/>
        <w:keepLines/>
        <w:spacing w:before="260" w:after="260" w:line="360" w:lineRule="auto"/>
        <w:outlineLvl w:val="1"/>
        <w:rPr>
          <w:rFonts w:ascii="宋体" w:hAnsi="宋体"/>
          <w:b/>
          <w:bCs/>
          <w:szCs w:val="21"/>
        </w:rPr>
      </w:pPr>
      <w:r>
        <w:rPr>
          <w:rFonts w:hint="eastAsia" w:ascii="宋体" w:hAnsi="宋体"/>
          <w:b/>
          <w:bCs/>
          <w:szCs w:val="21"/>
        </w:rPr>
        <w:t>五、开启</w:t>
      </w:r>
    </w:p>
    <w:p>
      <w:pPr>
        <w:spacing w:line="360" w:lineRule="auto"/>
        <w:ind w:firstLine="420" w:firstLineChars="200"/>
        <w:rPr>
          <w:rFonts w:ascii="宋体" w:hAnsi="宋体"/>
          <w:bCs/>
          <w:szCs w:val="21"/>
          <w:u w:val="single"/>
        </w:rPr>
      </w:pPr>
      <w:r>
        <w:rPr>
          <w:rFonts w:hint="eastAsia" w:ascii="宋体" w:hAnsi="宋体"/>
          <w:szCs w:val="21"/>
        </w:rPr>
        <w:t>时间：</w:t>
      </w:r>
      <w:r>
        <w:rPr>
          <w:rFonts w:hint="eastAsia" w:ascii="宋体" w:hAnsi="宋体"/>
          <w:color w:val="000000"/>
          <w:szCs w:val="21"/>
        </w:rPr>
        <w:t>同响应文件提交截止时间。</w:t>
      </w:r>
    </w:p>
    <w:p>
      <w:pPr>
        <w:spacing w:line="360" w:lineRule="auto"/>
        <w:ind w:firstLine="420" w:firstLineChars="200"/>
        <w:rPr>
          <w:rFonts w:ascii="宋体" w:hAnsi="宋体"/>
          <w:bCs/>
          <w:szCs w:val="21"/>
          <w:u w:val="single"/>
        </w:rPr>
      </w:pPr>
      <w:r>
        <w:rPr>
          <w:rFonts w:hint="eastAsia" w:ascii="宋体" w:hAnsi="宋体"/>
          <w:szCs w:val="21"/>
        </w:rPr>
        <w:t>地点：</w:t>
      </w:r>
      <w:r>
        <w:rPr>
          <w:rFonts w:hint="eastAsia" w:ascii="宋体" w:hAnsi="宋体"/>
          <w:color w:val="000000"/>
          <w:szCs w:val="21"/>
        </w:rPr>
        <w:t>同响应文件提交地点。</w:t>
      </w:r>
    </w:p>
    <w:p>
      <w:pPr>
        <w:keepNext/>
        <w:keepLines/>
        <w:spacing w:before="260" w:after="260" w:line="360" w:lineRule="auto"/>
        <w:outlineLvl w:val="1"/>
        <w:rPr>
          <w:rFonts w:ascii="宋体" w:hAnsi="宋体"/>
          <w:b/>
          <w:bCs/>
          <w:szCs w:val="21"/>
        </w:rPr>
      </w:pPr>
      <w:bookmarkStart w:id="18" w:name="_Toc16192"/>
      <w:bookmarkStart w:id="19" w:name="_Toc35393634"/>
      <w:bookmarkStart w:id="20" w:name="_Toc19137"/>
      <w:bookmarkStart w:id="21" w:name="_Toc35393803"/>
      <w:bookmarkStart w:id="22" w:name="_Toc9971"/>
      <w:bookmarkStart w:id="23" w:name="_Toc28359094"/>
      <w:bookmarkStart w:id="24" w:name="_Toc28359017"/>
      <w:bookmarkStart w:id="25" w:name="_Toc7568"/>
      <w:bookmarkStart w:id="26" w:name="_Toc15141"/>
      <w:bookmarkStart w:id="27" w:name="_Toc4965"/>
      <w:r>
        <w:rPr>
          <w:rFonts w:hint="eastAsia" w:ascii="宋体" w:hAnsi="宋体"/>
          <w:b/>
          <w:bCs/>
          <w:szCs w:val="21"/>
        </w:rPr>
        <w:t>六、公告期限</w:t>
      </w:r>
      <w:bookmarkEnd w:id="18"/>
      <w:bookmarkEnd w:id="19"/>
      <w:bookmarkEnd w:id="20"/>
      <w:bookmarkEnd w:id="21"/>
      <w:bookmarkEnd w:id="22"/>
      <w:bookmarkEnd w:id="23"/>
      <w:bookmarkEnd w:id="24"/>
      <w:bookmarkEnd w:id="25"/>
      <w:bookmarkEnd w:id="26"/>
      <w:bookmarkEnd w:id="27"/>
    </w:p>
    <w:p>
      <w:pPr>
        <w:spacing w:line="360" w:lineRule="auto"/>
        <w:ind w:firstLine="420" w:firstLineChars="200"/>
        <w:rPr>
          <w:rFonts w:ascii="宋体" w:hAnsi="宋体"/>
          <w:szCs w:val="21"/>
        </w:rPr>
      </w:pPr>
      <w:r>
        <w:rPr>
          <w:rFonts w:hint="eastAsia" w:ascii="宋体" w:hAnsi="宋体"/>
          <w:szCs w:val="21"/>
        </w:rPr>
        <w:t>自本公告发布之日起3个工作日。</w:t>
      </w:r>
    </w:p>
    <w:p>
      <w:pPr>
        <w:keepNext/>
        <w:keepLines/>
        <w:spacing w:before="260" w:after="260" w:line="360" w:lineRule="auto"/>
        <w:outlineLvl w:val="1"/>
        <w:rPr>
          <w:rFonts w:hint="eastAsia" w:ascii="宋体" w:hAnsi="宋体"/>
          <w:b/>
          <w:bCs/>
          <w:szCs w:val="21"/>
        </w:rPr>
      </w:pPr>
      <w:bookmarkStart w:id="28" w:name="_Toc3017"/>
      <w:bookmarkStart w:id="29" w:name="_Toc35393805"/>
      <w:bookmarkStart w:id="30" w:name="_Toc25351"/>
      <w:bookmarkStart w:id="31" w:name="_Toc28359018"/>
      <w:bookmarkStart w:id="32" w:name="_Toc35393636"/>
      <w:bookmarkStart w:id="33" w:name="_Toc28359095"/>
      <w:bookmarkStart w:id="34" w:name="_Toc3500"/>
      <w:bookmarkStart w:id="35" w:name="_Toc8301"/>
      <w:bookmarkStart w:id="36" w:name="_Toc26397"/>
      <w:bookmarkStart w:id="37" w:name="_Toc7284"/>
      <w:r>
        <w:rPr>
          <w:rFonts w:hint="eastAsia" w:ascii="宋体" w:hAnsi="宋体"/>
          <w:b/>
          <w:bCs/>
          <w:szCs w:val="21"/>
          <w:lang w:val="en-US" w:eastAsia="zh-CN"/>
        </w:rPr>
        <w:t>七、</w:t>
      </w:r>
      <w:r>
        <w:rPr>
          <w:rFonts w:hint="eastAsia" w:ascii="宋体" w:hAnsi="宋体"/>
          <w:b/>
          <w:bCs/>
          <w:szCs w:val="21"/>
        </w:rPr>
        <w:t>根据界首市新型冠状病毒感染的肺炎防控应急指挥部要求，来自中、高风险疫区的供应商在非网招项目递交响应文件时必须提供距响应文件截止时间48小时内核酸检测报告，否则其响应文件不予接收。由此产生的一切后果，由供应商自行承担。</w:t>
      </w:r>
    </w:p>
    <w:p>
      <w:pPr>
        <w:keepNext/>
        <w:keepLines/>
        <w:spacing w:before="260" w:after="260" w:line="360" w:lineRule="auto"/>
        <w:outlineLvl w:val="1"/>
        <w:rPr>
          <w:rFonts w:hint="eastAsia" w:ascii="宋体" w:hAnsi="宋体"/>
          <w:b/>
          <w:bCs/>
          <w:szCs w:val="21"/>
        </w:rPr>
      </w:pPr>
      <w:r>
        <w:rPr>
          <w:rFonts w:hint="eastAsia" w:ascii="宋体" w:hAnsi="宋体"/>
          <w:b/>
          <w:bCs/>
          <w:szCs w:val="21"/>
        </w:rPr>
        <w:t>八、凡对本次采购提出询问，请按以下方式联系。</w:t>
      </w:r>
      <w:bookmarkEnd w:id="28"/>
      <w:bookmarkEnd w:id="29"/>
      <w:bookmarkEnd w:id="30"/>
      <w:bookmarkEnd w:id="31"/>
      <w:bookmarkEnd w:id="32"/>
      <w:bookmarkEnd w:id="33"/>
      <w:bookmarkEnd w:id="34"/>
      <w:bookmarkEnd w:id="35"/>
      <w:bookmarkEnd w:id="36"/>
      <w:bookmarkEnd w:id="37"/>
    </w:p>
    <w:p>
      <w:pPr>
        <w:pStyle w:val="4"/>
        <w:spacing w:line="360" w:lineRule="auto"/>
        <w:ind w:left="0"/>
        <w:jc w:val="left"/>
      </w:pPr>
      <w:bookmarkStart w:id="38" w:name="_Toc35393637"/>
      <w:bookmarkStart w:id="39" w:name="_Toc28359019"/>
      <w:bookmarkStart w:id="40" w:name="_Toc28359096"/>
      <w:bookmarkStart w:id="41" w:name="_Toc35393806"/>
      <w:r>
        <w:rPr>
          <w:rFonts w:hint="eastAsia" w:ascii="宋体" w:hAnsi="宋体" w:eastAsia="宋体"/>
          <w:i w:val="0"/>
          <w:sz w:val="21"/>
          <w:szCs w:val="21"/>
        </w:rPr>
        <w:t>1.采购人信息</w:t>
      </w:r>
      <w:bookmarkEnd w:id="38"/>
      <w:bookmarkEnd w:id="39"/>
      <w:bookmarkEnd w:id="40"/>
      <w:bookmarkEnd w:id="41"/>
    </w:p>
    <w:p>
      <w:pPr>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rPr>
        <w:t>名    称：</w:t>
      </w:r>
      <w:r>
        <w:rPr>
          <w:rFonts w:hint="eastAsia" w:ascii="宋体" w:hAnsi="宋体" w:eastAsia="宋体" w:cs="Times New Roman"/>
          <w:szCs w:val="21"/>
          <w:lang w:val="en-US" w:eastAsia="zh-CN"/>
        </w:rPr>
        <w:t>界首市光武镇人民政府</w:t>
      </w:r>
    </w:p>
    <w:p>
      <w:pPr>
        <w:spacing w:line="360" w:lineRule="auto"/>
        <w:ind w:firstLine="420" w:firstLineChars="200"/>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地    址：界首市光武镇</w:t>
      </w:r>
    </w:p>
    <w:p>
      <w:pPr>
        <w:spacing w:line="360" w:lineRule="auto"/>
        <w:ind w:firstLine="420" w:firstLineChars="200"/>
        <w:rPr>
          <w:rFonts w:hint="default" w:ascii="宋体" w:hAnsi="宋体" w:eastAsia="宋体" w:cs="Times New Roman"/>
          <w:szCs w:val="21"/>
          <w:highlight w:val="none"/>
          <w:lang w:val="en-US"/>
        </w:rPr>
      </w:pPr>
      <w:r>
        <w:rPr>
          <w:rFonts w:hint="eastAsia" w:ascii="宋体" w:hAnsi="宋体" w:eastAsia="宋体" w:cs="Times New Roman"/>
          <w:szCs w:val="21"/>
          <w:highlight w:val="none"/>
          <w:lang w:val="en-US"/>
        </w:rPr>
        <w:t xml:space="preserve">联 系 人: </w:t>
      </w:r>
      <w:r>
        <w:rPr>
          <w:rFonts w:hint="eastAsia" w:ascii="宋体" w:hAnsi="宋体" w:cs="Times New Roman"/>
          <w:szCs w:val="21"/>
          <w:highlight w:val="none"/>
          <w:lang w:val="en-US" w:eastAsia="zh-CN"/>
        </w:rPr>
        <w:t>刘</w:t>
      </w:r>
      <w:r>
        <w:rPr>
          <w:rFonts w:hint="eastAsia" w:ascii="宋体" w:hAnsi="宋体" w:eastAsia="宋体" w:cs="Times New Roman"/>
          <w:szCs w:val="21"/>
          <w:highlight w:val="none"/>
          <w:lang w:val="en-US" w:eastAsia="zh-CN"/>
        </w:rPr>
        <w:t>先生</w:t>
      </w:r>
    </w:p>
    <w:p>
      <w:pPr>
        <w:spacing w:line="360" w:lineRule="auto"/>
        <w:ind w:firstLine="420" w:firstLineChars="200"/>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rPr>
        <w:t>联系方式：</w:t>
      </w:r>
      <w:r>
        <w:rPr>
          <w:rFonts w:hint="eastAsia" w:ascii="宋体" w:hAnsi="宋体" w:cs="Times New Roman"/>
          <w:szCs w:val="21"/>
          <w:highlight w:val="none"/>
          <w:lang w:val="en-US" w:eastAsia="zh-CN"/>
        </w:rPr>
        <w:t>15955832888</w:t>
      </w:r>
    </w:p>
    <w:p>
      <w:pPr>
        <w:pStyle w:val="4"/>
        <w:spacing w:line="360" w:lineRule="auto"/>
        <w:ind w:left="0"/>
        <w:jc w:val="left"/>
        <w:rPr>
          <w:rFonts w:hint="eastAsia"/>
        </w:rPr>
      </w:pPr>
      <w:bookmarkStart w:id="42" w:name="_Toc35393638"/>
      <w:bookmarkStart w:id="43" w:name="_Toc28359097"/>
      <w:bookmarkStart w:id="44" w:name="_Toc35393807"/>
      <w:bookmarkStart w:id="45" w:name="_Toc28359020"/>
      <w:r>
        <w:rPr>
          <w:rFonts w:hint="eastAsia" w:ascii="宋体" w:hAnsi="宋体" w:eastAsia="宋体"/>
          <w:i w:val="0"/>
          <w:sz w:val="21"/>
          <w:szCs w:val="21"/>
        </w:rPr>
        <w:t>2.采购代理机构信息</w:t>
      </w:r>
      <w:bookmarkEnd w:id="42"/>
      <w:bookmarkEnd w:id="43"/>
      <w:bookmarkEnd w:id="44"/>
      <w:bookmarkEnd w:id="45"/>
    </w:p>
    <w:p>
      <w:pPr>
        <w:spacing w:line="360" w:lineRule="auto"/>
        <w:ind w:firstLine="420" w:firstLineChars="200"/>
        <w:rPr>
          <w:rFonts w:hint="eastAsia" w:ascii="宋体" w:hAnsi="宋体" w:eastAsia="宋体" w:cs="Times New Roman"/>
          <w:szCs w:val="21"/>
          <w:lang w:val="en-US"/>
        </w:rPr>
      </w:pPr>
      <w:r>
        <w:rPr>
          <w:rFonts w:hint="eastAsia" w:ascii="宋体" w:hAnsi="宋体" w:eastAsia="宋体" w:cs="Times New Roman"/>
          <w:szCs w:val="21"/>
          <w:lang w:val="en-US"/>
        </w:rPr>
        <w:t>名    称：</w:t>
      </w:r>
      <w:r>
        <w:rPr>
          <w:rFonts w:hint="eastAsia" w:ascii="宋体" w:hAnsi="宋体" w:eastAsia="宋体" w:cs="Times New Roman"/>
          <w:szCs w:val="21"/>
          <w:lang w:val="en-US" w:eastAsia="zh-CN"/>
        </w:rPr>
        <w:t>安徽省正煦工程项目管理有限公司</w:t>
      </w:r>
    </w:p>
    <w:p>
      <w:pPr>
        <w:spacing w:line="360" w:lineRule="auto"/>
        <w:ind w:firstLine="420" w:firstLineChars="200"/>
        <w:rPr>
          <w:rFonts w:hint="default" w:ascii="宋体" w:hAnsi="宋体" w:eastAsia="宋体" w:cs="Times New Roman"/>
          <w:szCs w:val="21"/>
          <w:lang w:val="en-US" w:eastAsia="zh-CN"/>
        </w:rPr>
      </w:pPr>
      <w:r>
        <w:rPr>
          <w:rFonts w:hint="eastAsia" w:ascii="宋体" w:hAnsi="宋体" w:eastAsia="宋体" w:cs="Times New Roman"/>
          <w:szCs w:val="21"/>
          <w:lang w:val="en-US"/>
        </w:rPr>
        <w:t>地    址：</w:t>
      </w:r>
      <w:r>
        <w:rPr>
          <w:rFonts w:hint="eastAsia" w:ascii="宋体" w:hAnsi="宋体" w:cs="Times New Roman"/>
          <w:szCs w:val="21"/>
          <w:lang w:val="en-US" w:eastAsia="zh-CN"/>
        </w:rPr>
        <w:t>界首市劳动路435号</w:t>
      </w:r>
    </w:p>
    <w:p>
      <w:pPr>
        <w:spacing w:line="360" w:lineRule="auto"/>
        <w:ind w:firstLine="420" w:firstLineChars="200"/>
        <w:rPr>
          <w:rFonts w:hint="eastAsia" w:ascii="宋体" w:hAnsi="宋体" w:eastAsia="宋体" w:cs="Times New Roman"/>
          <w:szCs w:val="21"/>
          <w:lang w:val="en-US"/>
        </w:rPr>
      </w:pPr>
      <w:r>
        <w:rPr>
          <w:rFonts w:hint="eastAsia" w:ascii="宋体" w:hAnsi="宋体" w:eastAsia="宋体" w:cs="Times New Roman"/>
          <w:szCs w:val="21"/>
          <w:lang w:val="en-US"/>
        </w:rPr>
        <w:t>联</w:t>
      </w:r>
      <w:r>
        <w:rPr>
          <w:rFonts w:hint="eastAsia" w:ascii="宋体" w:hAnsi="宋体" w:eastAsia="宋体" w:cs="Times New Roman"/>
          <w:szCs w:val="21"/>
          <w:lang w:val="en-US" w:eastAsia="zh-CN"/>
        </w:rPr>
        <w:t xml:space="preserve"> </w:t>
      </w:r>
      <w:r>
        <w:rPr>
          <w:rFonts w:hint="eastAsia" w:ascii="宋体" w:hAnsi="宋体" w:eastAsia="宋体" w:cs="Times New Roman"/>
          <w:szCs w:val="21"/>
          <w:lang w:val="en-US"/>
        </w:rPr>
        <w:t>系</w:t>
      </w:r>
      <w:r>
        <w:rPr>
          <w:rFonts w:hint="eastAsia" w:ascii="宋体" w:hAnsi="宋体" w:eastAsia="宋体" w:cs="Times New Roman"/>
          <w:szCs w:val="21"/>
          <w:lang w:val="en-US" w:eastAsia="zh-CN"/>
        </w:rPr>
        <w:t xml:space="preserve"> 人</w:t>
      </w:r>
      <w:r>
        <w:rPr>
          <w:rFonts w:hint="eastAsia" w:ascii="宋体" w:hAnsi="宋体" w:eastAsia="宋体" w:cs="Times New Roman"/>
          <w:szCs w:val="21"/>
          <w:lang w:val="en-US"/>
        </w:rPr>
        <w:t>：</w:t>
      </w:r>
      <w:r>
        <w:rPr>
          <w:rFonts w:hint="eastAsia" w:ascii="宋体" w:hAnsi="宋体" w:eastAsia="宋体" w:cs="Times New Roman"/>
          <w:szCs w:val="21"/>
          <w:lang w:val="en-US" w:eastAsia="zh-CN"/>
        </w:rPr>
        <w:t>张</w:t>
      </w:r>
      <w:r>
        <w:rPr>
          <w:rFonts w:hint="eastAsia" w:ascii="宋体" w:hAnsi="宋体" w:eastAsia="宋体" w:cs="Times New Roman"/>
          <w:szCs w:val="21"/>
          <w:lang w:val="en-US"/>
        </w:rPr>
        <w:t xml:space="preserve">工 </w:t>
      </w:r>
    </w:p>
    <w:p>
      <w:pPr>
        <w:spacing w:line="360" w:lineRule="auto"/>
        <w:ind w:firstLine="420" w:firstLineChars="200"/>
        <w:rPr>
          <w:rFonts w:hint="default" w:ascii="宋体" w:hAnsi="宋体" w:eastAsia="宋体" w:cs="Times New Roman"/>
          <w:szCs w:val="21"/>
          <w:lang w:val="en-US" w:eastAsia="zh-CN"/>
        </w:rPr>
      </w:pPr>
      <w:r>
        <w:rPr>
          <w:rFonts w:hint="eastAsia" w:ascii="宋体" w:hAnsi="宋体" w:eastAsia="宋体" w:cs="Times New Roman"/>
          <w:szCs w:val="21"/>
          <w:lang w:val="en-US"/>
        </w:rPr>
        <w:t>联系方式：177</w:t>
      </w:r>
      <w:r>
        <w:rPr>
          <w:rFonts w:hint="eastAsia" w:ascii="宋体" w:hAnsi="宋体" w:eastAsia="宋体" w:cs="Times New Roman"/>
          <w:szCs w:val="21"/>
          <w:lang w:val="en-US" w:eastAsia="zh-CN"/>
        </w:rPr>
        <w:t>05586201</w:t>
      </w:r>
    </w:p>
    <w:p>
      <w:pPr>
        <w:pStyle w:val="4"/>
        <w:spacing w:line="360" w:lineRule="auto"/>
        <w:ind w:left="0"/>
        <w:jc w:val="left"/>
        <w:rPr>
          <w:rFonts w:ascii="宋体" w:hAnsi="宋体" w:eastAsia="宋体"/>
          <w:b/>
          <w:i w:val="0"/>
          <w:sz w:val="21"/>
          <w:szCs w:val="21"/>
        </w:rPr>
      </w:pPr>
      <w:bookmarkStart w:id="46" w:name="_Toc28359098"/>
      <w:bookmarkStart w:id="47" w:name="_Toc28359021"/>
      <w:bookmarkStart w:id="48" w:name="_Toc35393639"/>
      <w:bookmarkStart w:id="49" w:name="_Toc35393808"/>
      <w:r>
        <w:rPr>
          <w:rFonts w:hint="eastAsia" w:ascii="宋体" w:hAnsi="宋体" w:eastAsia="宋体"/>
          <w:i w:val="0"/>
          <w:sz w:val="21"/>
          <w:szCs w:val="21"/>
        </w:rPr>
        <w:t>3.项目联系方式</w:t>
      </w:r>
      <w:bookmarkEnd w:id="46"/>
      <w:bookmarkEnd w:id="47"/>
      <w:bookmarkEnd w:id="48"/>
      <w:bookmarkEnd w:id="49"/>
    </w:p>
    <w:p>
      <w:pPr>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rPr>
        <w:t>项目联系人：</w:t>
      </w:r>
      <w:permStart w:id="1" w:edGrp="everyone"/>
      <w:r>
        <w:rPr>
          <w:rFonts w:hint="eastAsia" w:ascii="宋体" w:hAnsi="宋体" w:eastAsia="宋体" w:cs="Times New Roman"/>
          <w:szCs w:val="21"/>
          <w:lang w:val="en-US" w:eastAsia="zh-CN"/>
        </w:rPr>
        <w:t xml:space="preserve">张工 </w:t>
      </w:r>
      <w:permEnd w:id="1"/>
    </w:p>
    <w:p>
      <w:pPr>
        <w:spacing w:line="360" w:lineRule="auto"/>
        <w:ind w:firstLine="420" w:firstLineChars="200"/>
        <w:rPr>
          <w:rFonts w:hint="default" w:eastAsia="宋体"/>
          <w:lang w:val="en-US" w:eastAsia="zh-CN"/>
        </w:rPr>
      </w:pPr>
      <w:r>
        <w:rPr>
          <w:rFonts w:hint="eastAsia" w:ascii="宋体" w:hAnsi="宋体" w:eastAsia="宋体" w:cs="Times New Roman"/>
          <w:szCs w:val="21"/>
          <w:lang w:val="en-US"/>
        </w:rPr>
        <w:t>联系方式</w:t>
      </w:r>
      <w:r>
        <w:rPr>
          <w:rFonts w:hint="eastAsia" w:ascii="宋体" w:hAnsi="宋体" w:eastAsia="宋体" w:cs="Times New Roman"/>
          <w:szCs w:val="21"/>
          <w:lang w:val="en-US" w:eastAsia="zh-CN"/>
        </w:rPr>
        <w:t xml:space="preserve">  </w:t>
      </w:r>
      <w:r>
        <w:rPr>
          <w:rFonts w:hint="eastAsia" w:ascii="宋体" w:hAnsi="宋体" w:eastAsia="宋体" w:cs="Times New Roman"/>
          <w:szCs w:val="21"/>
          <w:lang w:val="en-US"/>
        </w:rPr>
        <w:t>：</w:t>
      </w:r>
      <w:permStart w:id="2" w:edGrp="everyone"/>
      <w:r>
        <w:rPr>
          <w:rFonts w:hint="eastAsia" w:ascii="宋体" w:hAnsi="宋体" w:eastAsia="宋体" w:cs="Times New Roman"/>
          <w:szCs w:val="21"/>
          <w:lang w:val="en-US"/>
        </w:rPr>
        <w:t>177</w:t>
      </w:r>
      <w:r>
        <w:rPr>
          <w:rFonts w:hint="eastAsia" w:ascii="宋体" w:hAnsi="宋体" w:eastAsia="宋体" w:cs="Times New Roman"/>
          <w:szCs w:val="21"/>
          <w:lang w:val="en-US" w:eastAsia="zh-CN"/>
        </w:rPr>
        <w:t>05586201</w:t>
      </w:r>
      <w:permEnd w:id="2"/>
    </w:p>
    <w:p>
      <w:pPr>
        <w:widowControl/>
        <w:spacing w:line="360" w:lineRule="auto"/>
        <w:jc w:val="left"/>
        <w:rPr>
          <w:rFonts w:ascii="宋体" w:hAnsi="宋体"/>
        </w:rPr>
      </w:pPr>
    </w:p>
    <w:bookmarkEnd w:id="1"/>
    <w:p>
      <w:pPr>
        <w:widowControl/>
        <w:spacing w:line="360" w:lineRule="auto"/>
        <w:jc w:val="left"/>
        <w:rPr>
          <w:rFonts w:ascii="宋体" w:hAnsi="宋体"/>
        </w:rPr>
      </w:pPr>
    </w:p>
    <w:p>
      <w:pPr>
        <w:pStyle w:val="3"/>
        <w:tabs>
          <w:tab w:val="left" w:pos="3419"/>
        </w:tabs>
        <w:adjustRightInd w:val="0"/>
        <w:snapToGrid w:val="0"/>
        <w:spacing w:line="360" w:lineRule="auto"/>
        <w:jc w:val="center"/>
        <w:rPr>
          <w:rFonts w:ascii="宋体" w:hAnsi="宋体"/>
          <w:sz w:val="32"/>
          <w:szCs w:val="32"/>
        </w:rPr>
      </w:pPr>
      <w:bookmarkStart w:id="50" w:name="_Toc9012"/>
      <w:r>
        <w:rPr>
          <w:rFonts w:ascii="宋体" w:hAnsi="宋体"/>
          <w:sz w:val="32"/>
          <w:szCs w:val="32"/>
        </w:rPr>
        <w:t>第二章</w:t>
      </w:r>
      <w:r>
        <w:rPr>
          <w:rFonts w:hint="eastAsia" w:ascii="宋体" w:hAnsi="宋体"/>
          <w:sz w:val="32"/>
          <w:szCs w:val="32"/>
        </w:rPr>
        <w:t xml:space="preserve"> </w:t>
      </w:r>
      <w:r>
        <w:rPr>
          <w:rFonts w:ascii="宋体" w:hAnsi="宋体"/>
          <w:sz w:val="32"/>
          <w:szCs w:val="32"/>
        </w:rPr>
        <w:t>供应商须知</w:t>
      </w:r>
      <w:bookmarkEnd w:id="50"/>
    </w:p>
    <w:p>
      <w:pPr>
        <w:pStyle w:val="6"/>
      </w:pPr>
      <w:r>
        <w:t>一、供应商须知前附表</w:t>
      </w:r>
    </w:p>
    <w:p>
      <w:pPr>
        <w:pStyle w:val="2"/>
        <w:spacing w:before="160" w:after="6" w:line="360" w:lineRule="auto"/>
        <w:ind w:left="510" w:right="493" w:firstLine="437"/>
        <w:rPr>
          <w:sz w:val="21"/>
          <w:szCs w:val="21"/>
        </w:rPr>
      </w:pPr>
      <w:r>
        <w:rPr>
          <w:b/>
          <w:sz w:val="21"/>
          <w:szCs w:val="21"/>
        </w:rPr>
        <w:t>注：</w:t>
      </w:r>
      <w:r>
        <w:rPr>
          <w:sz w:val="21"/>
          <w:szCs w:val="21"/>
        </w:rPr>
        <w:t>本表是本项目的具体要求，是对供应商须知的具体补充和修改，如有不一致，以本表为准。</w:t>
      </w:r>
    </w:p>
    <w:tbl>
      <w:tblPr>
        <w:tblStyle w:val="18"/>
        <w:tblW w:w="850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2027"/>
        <w:gridCol w:w="54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shd w:val="clear" w:color="auto" w:fill="auto"/>
            <w:vAlign w:val="center"/>
          </w:tcPr>
          <w:p>
            <w:pPr>
              <w:jc w:val="center"/>
            </w:pPr>
            <w:r>
              <w:t>条款号</w:t>
            </w:r>
          </w:p>
        </w:tc>
        <w:tc>
          <w:tcPr>
            <w:tcW w:w="2027" w:type="dxa"/>
            <w:shd w:val="clear" w:color="auto" w:fill="auto"/>
            <w:vAlign w:val="center"/>
          </w:tcPr>
          <w:p>
            <w:pPr>
              <w:jc w:val="center"/>
            </w:pPr>
            <w:r>
              <w:t>条款名称</w:t>
            </w:r>
          </w:p>
        </w:tc>
        <w:tc>
          <w:tcPr>
            <w:tcW w:w="5471" w:type="dxa"/>
            <w:shd w:val="clear" w:color="auto" w:fill="auto"/>
            <w:vAlign w:val="center"/>
          </w:tcPr>
          <w:p>
            <w:pPr>
              <w:jc w:val="center"/>
            </w:pPr>
            <w: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shd w:val="clear" w:color="auto" w:fill="auto"/>
            <w:vAlign w:val="center"/>
          </w:tcPr>
          <w:p>
            <w:pPr>
              <w:pStyle w:val="46"/>
              <w:spacing w:before="4" w:line="360" w:lineRule="auto"/>
              <w:jc w:val="center"/>
              <w:rPr>
                <w:sz w:val="21"/>
                <w:szCs w:val="21"/>
                <w:lang w:val="en-US"/>
              </w:rPr>
            </w:pPr>
            <w:r>
              <w:rPr>
                <w:rFonts w:hint="eastAsia"/>
                <w:sz w:val="21"/>
                <w:szCs w:val="21"/>
                <w:lang w:val="en-US"/>
              </w:rPr>
              <w:t>1</w:t>
            </w:r>
          </w:p>
        </w:tc>
        <w:tc>
          <w:tcPr>
            <w:tcW w:w="2027" w:type="dxa"/>
            <w:shd w:val="clear" w:color="auto" w:fill="auto"/>
            <w:vAlign w:val="center"/>
          </w:tcPr>
          <w:p>
            <w:pPr>
              <w:jc w:val="center"/>
            </w:pPr>
            <w:r>
              <w:t>采购人</w:t>
            </w:r>
          </w:p>
        </w:tc>
        <w:tc>
          <w:tcPr>
            <w:tcW w:w="5471" w:type="dxa"/>
            <w:shd w:val="clear" w:color="auto" w:fill="auto"/>
            <w:vAlign w:val="center"/>
          </w:tcPr>
          <w:p>
            <w:pPr>
              <w:jc w:val="center"/>
              <w:rPr>
                <w:rFonts w:hint="eastAsia" w:eastAsia="宋体"/>
                <w:lang w:eastAsia="zh-CN"/>
              </w:rPr>
            </w:pPr>
            <w:r>
              <w:rPr>
                <w:rFonts w:hint="eastAsia"/>
                <w:lang w:eastAsia="zh-CN"/>
              </w:rPr>
              <w:t>界首市光武镇人民政府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004" w:type="dxa"/>
            <w:shd w:val="clear" w:color="auto" w:fill="auto"/>
            <w:vAlign w:val="center"/>
          </w:tcPr>
          <w:p>
            <w:pPr>
              <w:pStyle w:val="46"/>
              <w:spacing w:before="4" w:line="360" w:lineRule="auto"/>
              <w:jc w:val="center"/>
              <w:rPr>
                <w:sz w:val="21"/>
                <w:szCs w:val="21"/>
                <w:lang w:val="en-US"/>
              </w:rPr>
            </w:pPr>
            <w:r>
              <w:rPr>
                <w:rFonts w:hint="eastAsia"/>
                <w:sz w:val="21"/>
                <w:szCs w:val="21"/>
                <w:lang w:val="en-US"/>
              </w:rPr>
              <w:t>2</w:t>
            </w:r>
          </w:p>
        </w:tc>
        <w:tc>
          <w:tcPr>
            <w:tcW w:w="2027" w:type="dxa"/>
            <w:shd w:val="clear" w:color="auto" w:fill="auto"/>
            <w:vAlign w:val="center"/>
          </w:tcPr>
          <w:p>
            <w:pPr>
              <w:jc w:val="center"/>
            </w:pPr>
            <w:r>
              <w:t>采购代理机构</w:t>
            </w:r>
          </w:p>
        </w:tc>
        <w:tc>
          <w:tcPr>
            <w:tcW w:w="5471" w:type="dxa"/>
            <w:shd w:val="clear" w:color="auto" w:fill="auto"/>
            <w:vAlign w:val="center"/>
          </w:tcPr>
          <w:p>
            <w:pPr>
              <w:jc w:val="center"/>
              <w:rPr>
                <w:rFonts w:hint="eastAsia" w:eastAsia="宋体"/>
                <w:lang w:eastAsia="zh-CN"/>
              </w:rPr>
            </w:pPr>
            <w:r>
              <w:rPr>
                <w:rFonts w:hint="eastAsia"/>
                <w:lang w:eastAsia="zh-CN"/>
              </w:rPr>
              <w:t>安徽省正煦工程项目管理有限公司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04" w:type="dxa"/>
            <w:shd w:val="clear" w:color="auto" w:fill="auto"/>
            <w:vAlign w:val="center"/>
          </w:tcPr>
          <w:p>
            <w:pPr>
              <w:pStyle w:val="46"/>
              <w:spacing w:line="360" w:lineRule="auto"/>
              <w:ind w:right="109"/>
              <w:jc w:val="center"/>
              <w:rPr>
                <w:sz w:val="21"/>
                <w:szCs w:val="21"/>
                <w:lang w:eastAsia="en-US"/>
              </w:rPr>
            </w:pPr>
            <w:r>
              <w:rPr>
                <w:sz w:val="21"/>
                <w:szCs w:val="21"/>
                <w:lang w:eastAsia="en-US"/>
              </w:rPr>
              <w:t>3</w:t>
            </w:r>
          </w:p>
        </w:tc>
        <w:tc>
          <w:tcPr>
            <w:tcW w:w="2027" w:type="dxa"/>
            <w:shd w:val="clear" w:color="auto" w:fill="auto"/>
            <w:vAlign w:val="center"/>
          </w:tcPr>
          <w:p>
            <w:pPr>
              <w:pStyle w:val="46"/>
              <w:spacing w:before="2" w:line="360" w:lineRule="auto"/>
              <w:ind w:left="107"/>
              <w:jc w:val="both"/>
              <w:rPr>
                <w:sz w:val="21"/>
                <w:szCs w:val="21"/>
              </w:rPr>
            </w:pPr>
            <w:r>
              <w:rPr>
                <w:sz w:val="21"/>
                <w:szCs w:val="21"/>
              </w:rPr>
              <w:t>是否允许联合体</w:t>
            </w:r>
          </w:p>
          <w:p>
            <w:pPr>
              <w:pStyle w:val="46"/>
              <w:spacing w:before="158" w:line="360" w:lineRule="auto"/>
              <w:ind w:left="107"/>
              <w:jc w:val="both"/>
              <w:rPr>
                <w:sz w:val="21"/>
                <w:szCs w:val="21"/>
              </w:rPr>
            </w:pPr>
            <w:r>
              <w:rPr>
                <w:sz w:val="21"/>
                <w:szCs w:val="21"/>
              </w:rPr>
              <w:t>参加磋商</w:t>
            </w:r>
          </w:p>
        </w:tc>
        <w:tc>
          <w:tcPr>
            <w:tcW w:w="5471" w:type="dxa"/>
            <w:shd w:val="clear" w:color="auto" w:fill="auto"/>
            <w:vAlign w:val="center"/>
          </w:tcPr>
          <w:p>
            <w:pPr>
              <w:pStyle w:val="46"/>
              <w:spacing w:before="4" w:line="360" w:lineRule="auto"/>
              <w:jc w:val="both"/>
              <w:rPr>
                <w:sz w:val="21"/>
                <w:szCs w:val="21"/>
              </w:rPr>
            </w:pPr>
          </w:p>
          <w:p>
            <w:pPr>
              <w:pStyle w:val="46"/>
              <w:tabs>
                <w:tab w:val="left" w:pos="828"/>
              </w:tabs>
              <w:spacing w:line="360" w:lineRule="auto"/>
              <w:ind w:left="108"/>
              <w:jc w:val="both"/>
              <w:rPr>
                <w:sz w:val="21"/>
                <w:szCs w:val="21"/>
                <w:lang w:eastAsia="en-US"/>
              </w:rPr>
            </w:pPr>
            <w:r>
              <w:rPr>
                <w:sz w:val="21"/>
                <w:szCs w:val="21"/>
                <w:lang w:eastAsia="en-US"/>
              </w:rPr>
              <w:t>□是</w:t>
            </w:r>
            <w:r>
              <w:rPr>
                <w:sz w:val="21"/>
                <w:szCs w:val="21"/>
                <w:lang w:eastAsia="en-US"/>
              </w:rPr>
              <w:tab/>
            </w:r>
            <w:r>
              <w:rPr>
                <w:sz w:val="21"/>
                <w:szCs w:val="21"/>
                <w:lang w:eastAsia="en-US"/>
              </w:rPr>
              <w:sym w:font="Wingdings" w:char="00FE"/>
            </w:r>
            <w:r>
              <w:rPr>
                <w:sz w:val="21"/>
                <w:szCs w:val="21"/>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3" w:hRule="atLeast"/>
        </w:trPr>
        <w:tc>
          <w:tcPr>
            <w:tcW w:w="1004" w:type="dxa"/>
            <w:shd w:val="clear" w:color="auto" w:fill="auto"/>
            <w:vAlign w:val="center"/>
          </w:tcPr>
          <w:p>
            <w:pPr>
              <w:pStyle w:val="46"/>
              <w:spacing w:line="360" w:lineRule="auto"/>
              <w:ind w:right="109"/>
              <w:jc w:val="center"/>
              <w:rPr>
                <w:sz w:val="21"/>
                <w:szCs w:val="21"/>
                <w:lang w:val="en-US"/>
              </w:rPr>
            </w:pPr>
            <w:r>
              <w:rPr>
                <w:rFonts w:hint="eastAsia"/>
                <w:sz w:val="21"/>
                <w:szCs w:val="21"/>
                <w:lang w:val="en-US"/>
              </w:rPr>
              <w:t>4</w:t>
            </w:r>
          </w:p>
        </w:tc>
        <w:tc>
          <w:tcPr>
            <w:tcW w:w="2027" w:type="dxa"/>
            <w:shd w:val="clear" w:color="auto" w:fill="auto"/>
            <w:vAlign w:val="center"/>
          </w:tcPr>
          <w:p>
            <w:pPr>
              <w:pStyle w:val="46"/>
              <w:spacing w:line="360" w:lineRule="auto"/>
              <w:jc w:val="both"/>
              <w:rPr>
                <w:sz w:val="21"/>
                <w:szCs w:val="21"/>
                <w:lang w:eastAsia="en-US"/>
              </w:rPr>
            </w:pPr>
            <w:r>
              <w:rPr>
                <w:sz w:val="21"/>
                <w:szCs w:val="21"/>
                <w:lang w:eastAsia="en-US"/>
              </w:rPr>
              <w:t>现场考察</w:t>
            </w:r>
          </w:p>
        </w:tc>
        <w:tc>
          <w:tcPr>
            <w:tcW w:w="5471" w:type="dxa"/>
            <w:shd w:val="clear" w:color="auto" w:fill="auto"/>
            <w:vAlign w:val="center"/>
          </w:tcPr>
          <w:p>
            <w:pPr>
              <w:pStyle w:val="46"/>
              <w:spacing w:line="360" w:lineRule="auto"/>
              <w:ind w:left="108"/>
              <w:jc w:val="both"/>
              <w:rPr>
                <w:sz w:val="21"/>
                <w:szCs w:val="21"/>
              </w:rPr>
            </w:pPr>
            <w:r>
              <w:rPr>
                <w:sz w:val="21"/>
                <w:szCs w:val="21"/>
                <w:lang w:eastAsia="en-US"/>
              </w:rPr>
              <w:sym w:font="Wingdings" w:char="00FE"/>
            </w:r>
            <w:r>
              <w:rPr>
                <w:sz w:val="21"/>
                <w:szCs w:val="21"/>
              </w:rPr>
              <w:t>不组织，供应商自行考察</w:t>
            </w:r>
          </w:p>
          <w:p>
            <w:pPr>
              <w:pStyle w:val="46"/>
              <w:spacing w:before="158" w:line="360" w:lineRule="auto"/>
              <w:ind w:left="108"/>
              <w:jc w:val="both"/>
              <w:rPr>
                <w:sz w:val="21"/>
                <w:szCs w:val="21"/>
              </w:rPr>
            </w:pPr>
            <w:r>
              <w:rPr>
                <w:sz w:val="21"/>
                <w:szCs w:val="21"/>
              </w:rPr>
              <w:t>□统一组织</w:t>
            </w:r>
          </w:p>
          <w:p>
            <w:pPr>
              <w:pStyle w:val="46"/>
              <w:tabs>
                <w:tab w:val="left" w:pos="1308"/>
                <w:tab w:val="left" w:pos="3643"/>
              </w:tabs>
              <w:spacing w:before="160" w:line="360" w:lineRule="auto"/>
              <w:ind w:left="108" w:right="1812"/>
              <w:jc w:val="both"/>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rPr>
              <w:t>月</w:t>
            </w:r>
            <w:r>
              <w:rPr>
                <w:sz w:val="21"/>
                <w:szCs w:val="21"/>
                <w:u w:val="single"/>
              </w:rPr>
              <w:t xml:space="preserve">  </w:t>
            </w:r>
            <w:r>
              <w:rPr>
                <w:sz w:val="21"/>
                <w:szCs w:val="21"/>
              </w:rPr>
              <w:t>日</w:t>
            </w:r>
            <w:r>
              <w:rPr>
                <w:sz w:val="21"/>
                <w:szCs w:val="21"/>
                <w:u w:val="single"/>
              </w:rPr>
              <w:t xml:space="preserve">  </w:t>
            </w:r>
            <w:r>
              <w:rPr>
                <w:sz w:val="21"/>
                <w:szCs w:val="21"/>
              </w:rPr>
              <w:t>时</w:t>
            </w:r>
            <w:r>
              <w:rPr>
                <w:sz w:val="21"/>
                <w:szCs w:val="21"/>
                <w:u w:val="single"/>
              </w:rPr>
              <w:t xml:space="preserve">  </w:t>
            </w:r>
            <w:r>
              <w:rPr>
                <w:sz w:val="21"/>
                <w:szCs w:val="21"/>
              </w:rPr>
              <w:t>分地点：</w:t>
            </w:r>
            <w:r>
              <w:rPr>
                <w:sz w:val="21"/>
                <w:szCs w:val="21"/>
                <w:u w:val="single"/>
              </w:rPr>
              <w:t xml:space="preserve"> </w:t>
            </w:r>
            <w:r>
              <w:rPr>
                <w:sz w:val="21"/>
                <w:szCs w:val="21"/>
                <w:u w:val="single"/>
              </w:rPr>
              <w:tab/>
            </w:r>
            <w:r>
              <w:rPr>
                <w:sz w:val="21"/>
                <w:szCs w:val="21"/>
                <w:u w:val="single"/>
              </w:rPr>
              <w:tab/>
            </w:r>
          </w:p>
          <w:p>
            <w:pPr>
              <w:pStyle w:val="46"/>
              <w:tabs>
                <w:tab w:val="left" w:pos="4603"/>
              </w:tabs>
              <w:spacing w:before="6" w:line="360" w:lineRule="auto"/>
              <w:ind w:left="108"/>
              <w:jc w:val="both"/>
              <w:rPr>
                <w:sz w:val="21"/>
                <w:szCs w:val="21"/>
              </w:rPr>
            </w:pPr>
            <w:r>
              <w:rPr>
                <w:sz w:val="21"/>
                <w:szCs w:val="21"/>
              </w:rPr>
              <w:t>现场考察联系人及联系电话：</w:t>
            </w:r>
            <w:r>
              <w:rPr>
                <w:sz w:val="21"/>
                <w:szCs w:val="21"/>
                <w:u w:val="single"/>
              </w:rPr>
              <w:t xml:space="preserve"> </w:t>
            </w:r>
            <w:r>
              <w:rPr>
                <w:sz w:val="21"/>
                <w:szCs w:val="21"/>
                <w:u w:val="single"/>
              </w:rPr>
              <w:tab/>
            </w:r>
          </w:p>
          <w:p>
            <w:pPr>
              <w:pStyle w:val="46"/>
              <w:spacing w:before="24" w:line="360" w:lineRule="auto"/>
              <w:ind w:left="108" w:right="100"/>
              <w:jc w:val="both"/>
              <w:rPr>
                <w:b/>
                <w:sz w:val="21"/>
                <w:szCs w:val="21"/>
              </w:rPr>
            </w:pPr>
            <w:r>
              <w:rPr>
                <w:b/>
                <w:spacing w:val="8"/>
                <w:w w:val="95"/>
                <w:sz w:val="21"/>
                <w:szCs w:val="21"/>
              </w:rPr>
              <w:t xml:space="preserve">备注：如供应商未参加采购人统一组织的现场考 </w:t>
            </w:r>
            <w:r>
              <w:rPr>
                <w:b/>
                <w:spacing w:val="-7"/>
                <w:sz w:val="21"/>
                <w:szCs w:val="21"/>
              </w:rPr>
              <w:t>察，视同放弃现场考察，由此引起的一切责任由供</w:t>
            </w:r>
            <w:r>
              <w:rPr>
                <w:b/>
                <w:sz w:val="21"/>
                <w:szCs w:val="21"/>
              </w:rPr>
              <w:t>应商自行承担。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shd w:val="clear" w:color="auto" w:fill="auto"/>
            <w:vAlign w:val="center"/>
          </w:tcPr>
          <w:p>
            <w:pPr>
              <w:pStyle w:val="46"/>
              <w:spacing w:before="1" w:line="360" w:lineRule="auto"/>
              <w:ind w:right="109"/>
              <w:jc w:val="center"/>
              <w:rPr>
                <w:sz w:val="21"/>
                <w:szCs w:val="21"/>
                <w:lang w:val="en-US"/>
              </w:rPr>
            </w:pPr>
            <w:r>
              <w:rPr>
                <w:rFonts w:hint="eastAsia"/>
                <w:sz w:val="21"/>
                <w:szCs w:val="21"/>
                <w:lang w:val="en-US"/>
              </w:rPr>
              <w:t>5</w:t>
            </w:r>
          </w:p>
        </w:tc>
        <w:tc>
          <w:tcPr>
            <w:tcW w:w="2027" w:type="dxa"/>
            <w:shd w:val="clear" w:color="auto" w:fill="auto"/>
            <w:vAlign w:val="center"/>
          </w:tcPr>
          <w:p>
            <w:pPr>
              <w:autoSpaceDE w:val="0"/>
              <w:autoSpaceDN w:val="0"/>
              <w:spacing w:line="360" w:lineRule="auto"/>
              <w:rPr>
                <w:rFonts w:ascii="宋体" w:hAnsi="宋体"/>
                <w:kern w:val="0"/>
                <w:lang w:eastAsia="en-US"/>
              </w:rPr>
            </w:pPr>
            <w:r>
              <w:rPr>
                <w:rFonts w:hint="eastAsia" w:ascii="宋体" w:hAnsi="宋体"/>
                <w:kern w:val="0"/>
              </w:rPr>
              <w:t>供应商质疑</w:t>
            </w:r>
            <w:r>
              <w:rPr>
                <w:rFonts w:ascii="宋体" w:hAnsi="宋体"/>
                <w:kern w:val="0"/>
                <w:lang w:eastAsia="en-US"/>
              </w:rPr>
              <w:t>截止时间</w:t>
            </w:r>
          </w:p>
        </w:tc>
        <w:tc>
          <w:tcPr>
            <w:tcW w:w="5471" w:type="dxa"/>
            <w:shd w:val="clear" w:color="auto" w:fill="auto"/>
            <w:vAlign w:val="center"/>
          </w:tcPr>
          <w:p>
            <w:pPr>
              <w:autoSpaceDE w:val="0"/>
              <w:autoSpaceDN w:val="0"/>
              <w:spacing w:line="360" w:lineRule="auto"/>
              <w:rPr>
                <w:rFonts w:ascii="宋体" w:hAnsi="宋体" w:cs="宋体"/>
                <w:kern w:val="0"/>
              </w:rPr>
            </w:pPr>
            <w:r>
              <w:rPr>
                <w:rFonts w:hint="eastAsia" w:ascii="宋体" w:hAnsi="宋体"/>
                <w:kern w:val="0"/>
              </w:rPr>
              <w:t>1、对采购文件提出质疑的，应当在磋商文件提交截止时间前</w:t>
            </w:r>
            <w:r>
              <w:rPr>
                <w:rFonts w:ascii="宋体" w:hAnsi="宋体" w:cs="宋体"/>
                <w:kern w:val="0"/>
              </w:rPr>
              <w:t>1</w:t>
            </w:r>
            <w:r>
              <w:rPr>
                <w:rFonts w:hint="eastAsia" w:ascii="宋体" w:hAnsi="宋体" w:cs="宋体"/>
                <w:kern w:val="0"/>
              </w:rPr>
              <w:t>个工作日内提出。</w:t>
            </w:r>
          </w:p>
          <w:p>
            <w:pPr>
              <w:autoSpaceDE w:val="0"/>
              <w:autoSpaceDN w:val="0"/>
              <w:spacing w:line="360" w:lineRule="auto"/>
              <w:ind w:firstLine="411" w:firstLineChars="196"/>
              <w:rPr>
                <w:rFonts w:ascii="宋体" w:hAnsi="宋体" w:cs="宋体"/>
                <w:kern w:val="0"/>
              </w:rPr>
            </w:pPr>
            <w:r>
              <w:rPr>
                <w:rFonts w:hint="eastAsia" w:ascii="宋体" w:hAnsi="宋体" w:cs="宋体"/>
                <w:kern w:val="0"/>
              </w:rPr>
              <w:t>接受</w:t>
            </w:r>
            <w:r>
              <w:rPr>
                <w:rFonts w:hint="eastAsia" w:ascii="宋体" w:hAnsi="宋体"/>
                <w:kern w:val="0"/>
              </w:rPr>
              <w:t>采购</w:t>
            </w:r>
            <w:r>
              <w:rPr>
                <w:rFonts w:hint="eastAsia" w:ascii="宋体" w:hAnsi="宋体" w:cs="宋体"/>
                <w:kern w:val="0"/>
              </w:rPr>
              <w:t>文件质疑的电子邮箱：</w:t>
            </w:r>
            <w:r>
              <w:rPr>
                <w:rFonts w:hint="eastAsia" w:ascii="宋体" w:hAnsi="宋体" w:cs="宋体"/>
                <w:kern w:val="0"/>
                <w:lang w:eastAsia="zh-CN"/>
              </w:rPr>
              <w:t>772256399</w:t>
            </w:r>
            <w:r>
              <w:rPr>
                <w:rFonts w:ascii="宋体" w:hAnsi="宋体" w:cs="宋体"/>
                <w:kern w:val="0"/>
              </w:rPr>
              <w:t>@qq.com</w:t>
            </w:r>
            <w:r>
              <w:rPr>
                <w:rFonts w:hint="eastAsia" w:ascii="宋体" w:hAnsi="宋体" w:cs="宋体"/>
                <w:kern w:val="0"/>
              </w:rPr>
              <w:t xml:space="preserve">    </w:t>
            </w:r>
          </w:p>
          <w:p>
            <w:pPr>
              <w:widowControl/>
              <w:shd w:val="clear" w:color="auto" w:fill="FFFFFF"/>
              <w:autoSpaceDE w:val="0"/>
              <w:autoSpaceDN w:val="0"/>
              <w:spacing w:line="360" w:lineRule="auto"/>
              <w:ind w:firstLine="411" w:firstLineChars="196"/>
              <w:rPr>
                <w:rFonts w:ascii="宋体" w:hAnsi="宋体" w:cs="宋体"/>
                <w:kern w:val="0"/>
              </w:rPr>
            </w:pPr>
            <w:r>
              <w:rPr>
                <w:rFonts w:hint="eastAsia" w:ascii="宋体" w:hAnsi="宋体" w:cs="宋体"/>
                <w:kern w:val="0"/>
              </w:rPr>
              <w:t>特别提示：提出质疑时须注明项目名称及项目编号。</w:t>
            </w:r>
          </w:p>
          <w:p>
            <w:pPr>
              <w:autoSpaceDE w:val="0"/>
              <w:autoSpaceDN w:val="0"/>
              <w:spacing w:line="360" w:lineRule="auto"/>
              <w:ind w:firstLine="411" w:firstLineChars="196"/>
              <w:rPr>
                <w:rFonts w:ascii="宋体" w:hAnsi="宋体" w:cs="宋体"/>
                <w:kern w:val="0"/>
              </w:rPr>
            </w:pPr>
            <w:r>
              <w:rPr>
                <w:rFonts w:hint="eastAsia" w:ascii="宋体" w:hAnsi="宋体" w:cs="宋体"/>
                <w:kern w:val="0"/>
              </w:rPr>
              <w:t>询问答复及澄清或修改：在</w:t>
            </w:r>
            <w:r>
              <w:rPr>
                <w:rFonts w:hint="eastAsia" w:ascii="宋体" w:hAnsi="宋体" w:cs="宋体"/>
                <w:kern w:val="0"/>
                <w:lang w:eastAsia="zh-CN"/>
              </w:rPr>
              <w:t>《界首市人民政府网》《农业全程网》</w:t>
            </w:r>
            <w:r>
              <w:rPr>
                <w:rFonts w:hint="eastAsia" w:ascii="宋体" w:hAnsi="宋体" w:cs="宋体"/>
                <w:kern w:val="0"/>
              </w:rPr>
              <w:t>发布，采购人不再另行通知。</w:t>
            </w:r>
          </w:p>
          <w:p>
            <w:pPr>
              <w:autoSpaceDE w:val="0"/>
              <w:autoSpaceDN w:val="0"/>
              <w:spacing w:line="360" w:lineRule="auto"/>
              <w:ind w:firstLine="420" w:firstLineChars="200"/>
              <w:rPr>
                <w:rFonts w:ascii="宋体" w:hAnsi="宋体" w:cs="宋体"/>
                <w:kern w:val="0"/>
              </w:rPr>
            </w:pPr>
            <w:r>
              <w:rPr>
                <w:rFonts w:hint="eastAsia" w:ascii="宋体" w:hAnsi="宋体" w:cs="宋体"/>
                <w:kern w:val="0"/>
              </w:rPr>
              <w:t>该答复内容及澄清或修改内容为</w:t>
            </w:r>
            <w:r>
              <w:rPr>
                <w:rFonts w:hint="eastAsia" w:ascii="宋体" w:hAnsi="宋体"/>
                <w:kern w:val="0"/>
              </w:rPr>
              <w:t>采购</w:t>
            </w:r>
            <w:r>
              <w:rPr>
                <w:rFonts w:hint="eastAsia" w:ascii="宋体" w:hAnsi="宋体" w:cs="宋体"/>
                <w:kern w:val="0"/>
              </w:rPr>
              <w:t>文件的组成部分</w:t>
            </w:r>
            <w:r>
              <w:rPr>
                <w:rFonts w:hint="eastAsia" w:ascii="宋体" w:hAnsi="宋体"/>
                <w:kern w:val="0"/>
              </w:rPr>
              <w:t>，对供应商具有同样约束力效力。</w:t>
            </w:r>
            <w:r>
              <w:rPr>
                <w:rFonts w:hint="eastAsia" w:ascii="宋体" w:hAnsi="宋体" w:cs="宋体"/>
                <w:kern w:val="0"/>
              </w:rPr>
              <w:t>（所有潜在</w:t>
            </w:r>
            <w:r>
              <w:rPr>
                <w:rFonts w:hint="eastAsia" w:ascii="宋体" w:hAnsi="宋体"/>
                <w:kern w:val="0"/>
              </w:rPr>
              <w:t>供应商</w:t>
            </w:r>
            <w:r>
              <w:rPr>
                <w:rFonts w:hint="eastAsia" w:ascii="宋体" w:hAnsi="宋体" w:cs="宋体"/>
                <w:kern w:val="0"/>
              </w:rPr>
              <w:t>在响应文件提交截止时间前有义务自行查询，澄清、修改及答疑回复视为全部知晓，无需回复确认。）</w:t>
            </w:r>
          </w:p>
          <w:p>
            <w:pPr>
              <w:widowControl/>
              <w:shd w:val="clear" w:color="auto" w:fill="FFFFFF"/>
              <w:autoSpaceDE w:val="0"/>
              <w:autoSpaceDN w:val="0"/>
              <w:spacing w:line="360" w:lineRule="auto"/>
              <w:rPr>
                <w:rFonts w:ascii="宋体" w:hAnsi="宋体" w:cs="宋体"/>
                <w:kern w:val="0"/>
              </w:rPr>
            </w:pPr>
            <w:r>
              <w:rPr>
                <w:rFonts w:hint="eastAsia" w:ascii="宋体" w:hAnsi="宋体" w:cs="宋体"/>
                <w:kern w:val="0"/>
              </w:rPr>
              <w:t>2、</w:t>
            </w:r>
            <w:r>
              <w:rPr>
                <w:rFonts w:ascii="宋体" w:hAnsi="宋体" w:cs="宋体"/>
                <w:kern w:val="0"/>
              </w:rPr>
              <w:t>供应商认为采购过程、成交结果使自己的权益受到损害的</w:t>
            </w:r>
            <w:r>
              <w:rPr>
                <w:rFonts w:hint="eastAsia" w:ascii="宋体" w:hAnsi="宋体" w:cs="宋体"/>
                <w:kern w:val="0"/>
              </w:rPr>
              <w:t>，</w:t>
            </w:r>
            <w:r>
              <w:rPr>
                <w:rFonts w:ascii="宋体" w:hAnsi="宋体" w:cs="宋体"/>
                <w:kern w:val="0"/>
              </w:rPr>
              <w:t>可以在知道或者应知其权益受到损害之日起</w:t>
            </w:r>
            <w:r>
              <w:rPr>
                <w:rFonts w:hint="eastAsia" w:ascii="宋体" w:hAnsi="宋体" w:cs="宋体"/>
                <w:kern w:val="0"/>
              </w:rPr>
              <w:t>7</w:t>
            </w:r>
            <w:r>
              <w:rPr>
                <w:rFonts w:ascii="宋体" w:hAnsi="宋体" w:cs="宋体"/>
                <w:kern w:val="0"/>
              </w:rPr>
              <w:t>个工作日内，以书面形式</w:t>
            </w:r>
            <w:r>
              <w:rPr>
                <w:rFonts w:hint="eastAsia" w:ascii="宋体" w:hAnsi="宋体" w:cs="宋体"/>
                <w:kern w:val="0"/>
              </w:rPr>
              <w:t>提出。</w:t>
            </w:r>
          </w:p>
          <w:p>
            <w:pPr>
              <w:pStyle w:val="46"/>
              <w:tabs>
                <w:tab w:val="left" w:pos="588"/>
              </w:tabs>
              <w:spacing w:before="232" w:line="360" w:lineRule="auto"/>
              <w:ind w:left="108"/>
              <w:jc w:val="both"/>
              <w:rPr>
                <w:sz w:val="21"/>
                <w:szCs w:val="21"/>
              </w:rPr>
            </w:pPr>
            <w:r>
              <w:rPr>
                <w:rFonts w:hint="eastAsia"/>
                <w:sz w:val="21"/>
                <w:szCs w:val="21"/>
              </w:rPr>
              <w:t>3、质疑函格式按照采购文件格式给定供应商质疑函范本编写。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04" w:type="dxa"/>
            <w:shd w:val="clear" w:color="auto" w:fill="auto"/>
            <w:vAlign w:val="center"/>
          </w:tcPr>
          <w:p>
            <w:pPr>
              <w:pStyle w:val="46"/>
              <w:spacing w:line="360" w:lineRule="auto"/>
              <w:ind w:right="109"/>
              <w:jc w:val="center"/>
              <w:rPr>
                <w:sz w:val="21"/>
                <w:szCs w:val="21"/>
                <w:lang w:val="en-US"/>
              </w:rPr>
            </w:pPr>
            <w:r>
              <w:rPr>
                <w:rFonts w:hint="eastAsia"/>
                <w:sz w:val="21"/>
                <w:szCs w:val="21"/>
                <w:lang w:val="en-US"/>
              </w:rPr>
              <w:t>6</w:t>
            </w:r>
          </w:p>
        </w:tc>
        <w:tc>
          <w:tcPr>
            <w:tcW w:w="2027" w:type="dxa"/>
            <w:shd w:val="clear" w:color="auto" w:fill="auto"/>
            <w:vAlign w:val="center"/>
          </w:tcPr>
          <w:p>
            <w:pPr>
              <w:pStyle w:val="46"/>
              <w:spacing w:line="360" w:lineRule="auto"/>
              <w:jc w:val="both"/>
              <w:rPr>
                <w:sz w:val="21"/>
                <w:szCs w:val="21"/>
                <w:lang w:eastAsia="en-US"/>
              </w:rPr>
            </w:pPr>
            <w:r>
              <w:rPr>
                <w:sz w:val="21"/>
                <w:szCs w:val="21"/>
                <w:lang w:eastAsia="en-US"/>
              </w:rPr>
              <w:t>包别划分</w:t>
            </w:r>
          </w:p>
        </w:tc>
        <w:tc>
          <w:tcPr>
            <w:tcW w:w="5471" w:type="dxa"/>
            <w:shd w:val="clear" w:color="auto" w:fill="auto"/>
            <w:vAlign w:val="center"/>
          </w:tcPr>
          <w:p>
            <w:pPr>
              <w:pStyle w:val="46"/>
              <w:tabs>
                <w:tab w:val="left" w:pos="1668"/>
                <w:tab w:val="left" w:pos="2628"/>
              </w:tabs>
              <w:spacing w:before="40" w:line="360" w:lineRule="auto"/>
              <w:ind w:left="108"/>
              <w:jc w:val="both"/>
              <w:rPr>
                <w:sz w:val="21"/>
                <w:szCs w:val="21"/>
              </w:rPr>
            </w:pPr>
            <w:r>
              <w:rPr>
                <w:sz w:val="21"/>
                <w:szCs w:val="21"/>
              </w:rPr>
              <w:sym w:font="Wingdings" w:char="00FE"/>
            </w:r>
            <w:r>
              <w:rPr>
                <w:sz w:val="21"/>
                <w:szCs w:val="21"/>
              </w:rPr>
              <w:t>不分包</w:t>
            </w:r>
            <w:r>
              <w:rPr>
                <w:sz w:val="21"/>
                <w:szCs w:val="21"/>
              </w:rPr>
              <w:tab/>
            </w:r>
            <w:r>
              <w:rPr>
                <w:sz w:val="21"/>
                <w:szCs w:val="21"/>
              </w:rPr>
              <w:t>□分为</w:t>
            </w:r>
            <w:r>
              <w:rPr>
                <w:sz w:val="21"/>
                <w:szCs w:val="21"/>
              </w:rPr>
              <w:tab/>
            </w:r>
            <w:r>
              <w:rPr>
                <w:sz w:val="21"/>
                <w:szCs w:val="21"/>
              </w:rPr>
              <w:t>个包</w:t>
            </w:r>
          </w:p>
          <w:p>
            <w:pPr>
              <w:pStyle w:val="46"/>
              <w:tabs>
                <w:tab w:val="left" w:pos="5415"/>
              </w:tabs>
              <w:spacing w:before="161" w:line="360" w:lineRule="auto"/>
              <w:ind w:left="108"/>
              <w:jc w:val="both"/>
              <w:rPr>
                <w:sz w:val="21"/>
                <w:szCs w:val="21"/>
              </w:rPr>
            </w:pPr>
            <w:r>
              <w:rPr>
                <w:sz w:val="21"/>
                <w:szCs w:val="21"/>
              </w:rPr>
              <w:t>供应商参加多个包磋商的成交包数规定：</w:t>
            </w:r>
            <w:r>
              <w:rPr>
                <w:sz w:val="21"/>
                <w:szCs w:val="21"/>
                <w:u w:val="single"/>
              </w:rPr>
              <w:t xml:space="preserve"> </w:t>
            </w:r>
            <w:r>
              <w:rPr>
                <w:sz w:val="21"/>
                <w:szCs w:val="21"/>
                <w:u w:val="single"/>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shd w:val="clear" w:color="auto" w:fill="auto"/>
            <w:vAlign w:val="center"/>
          </w:tcPr>
          <w:p>
            <w:pPr>
              <w:pStyle w:val="46"/>
              <w:spacing w:before="19" w:line="360" w:lineRule="auto"/>
              <w:ind w:right="249"/>
              <w:jc w:val="center"/>
              <w:rPr>
                <w:sz w:val="21"/>
                <w:szCs w:val="21"/>
                <w:lang w:val="en-US"/>
              </w:rPr>
            </w:pPr>
            <w:r>
              <w:rPr>
                <w:rFonts w:hint="eastAsia"/>
                <w:sz w:val="21"/>
                <w:szCs w:val="21"/>
                <w:lang w:val="en-US"/>
              </w:rPr>
              <w:t>7</w:t>
            </w:r>
          </w:p>
        </w:tc>
        <w:tc>
          <w:tcPr>
            <w:tcW w:w="2027" w:type="dxa"/>
            <w:shd w:val="clear" w:color="auto" w:fill="auto"/>
            <w:vAlign w:val="center"/>
          </w:tcPr>
          <w:p>
            <w:pPr>
              <w:pStyle w:val="46"/>
              <w:spacing w:before="19" w:line="360" w:lineRule="auto"/>
              <w:ind w:left="107"/>
              <w:jc w:val="both"/>
              <w:rPr>
                <w:sz w:val="21"/>
                <w:szCs w:val="21"/>
                <w:lang w:eastAsia="en-US"/>
              </w:rPr>
            </w:pPr>
            <w:r>
              <w:rPr>
                <w:sz w:val="21"/>
                <w:szCs w:val="21"/>
                <w:lang w:eastAsia="en-US"/>
              </w:rPr>
              <w:t>磋商有效期</w:t>
            </w:r>
          </w:p>
        </w:tc>
        <w:tc>
          <w:tcPr>
            <w:tcW w:w="5471" w:type="dxa"/>
            <w:shd w:val="clear" w:color="auto" w:fill="auto"/>
            <w:vAlign w:val="center"/>
          </w:tcPr>
          <w:p>
            <w:pPr>
              <w:pStyle w:val="46"/>
              <w:tabs>
                <w:tab w:val="left" w:pos="828"/>
              </w:tabs>
              <w:spacing w:before="19" w:line="360" w:lineRule="auto"/>
              <w:ind w:left="108"/>
              <w:jc w:val="both"/>
              <w:rPr>
                <w:sz w:val="21"/>
                <w:szCs w:val="21"/>
                <w:lang w:eastAsia="en-US"/>
              </w:rPr>
            </w:pPr>
            <w:r>
              <w:rPr>
                <w:sz w:val="21"/>
                <w:szCs w:val="21"/>
                <w:u w:val="single"/>
                <w:lang w:eastAsia="en-US"/>
              </w:rPr>
              <w:t xml:space="preserve"> 90</w:t>
            </w:r>
            <w:r>
              <w:rPr>
                <w:sz w:val="21"/>
                <w:szCs w:val="21"/>
                <w:lang w:eastAsia="en-US"/>
              </w:rPr>
              <w:t>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shd w:val="clear" w:color="auto" w:fill="auto"/>
            <w:vAlign w:val="center"/>
          </w:tcPr>
          <w:p>
            <w:pPr>
              <w:pStyle w:val="46"/>
              <w:spacing w:before="16" w:line="360" w:lineRule="auto"/>
              <w:ind w:right="249"/>
              <w:jc w:val="center"/>
              <w:rPr>
                <w:sz w:val="21"/>
                <w:szCs w:val="21"/>
                <w:lang w:val="en-US"/>
              </w:rPr>
            </w:pPr>
            <w:r>
              <w:rPr>
                <w:rFonts w:hint="eastAsia"/>
                <w:sz w:val="21"/>
                <w:szCs w:val="21"/>
                <w:lang w:val="en-US"/>
              </w:rPr>
              <w:t>8</w:t>
            </w:r>
          </w:p>
        </w:tc>
        <w:tc>
          <w:tcPr>
            <w:tcW w:w="2027" w:type="dxa"/>
            <w:shd w:val="clear" w:color="auto" w:fill="auto"/>
            <w:vAlign w:val="center"/>
          </w:tcPr>
          <w:p>
            <w:pPr>
              <w:pStyle w:val="46"/>
              <w:spacing w:before="16" w:line="360" w:lineRule="auto"/>
              <w:ind w:left="107"/>
              <w:jc w:val="both"/>
              <w:rPr>
                <w:sz w:val="21"/>
                <w:szCs w:val="21"/>
                <w:lang w:eastAsia="en-US"/>
              </w:rPr>
            </w:pPr>
            <w:r>
              <w:rPr>
                <w:sz w:val="21"/>
                <w:szCs w:val="21"/>
                <w:lang w:eastAsia="en-US"/>
              </w:rPr>
              <w:t>响应文件要求</w:t>
            </w:r>
          </w:p>
        </w:tc>
        <w:tc>
          <w:tcPr>
            <w:tcW w:w="5471" w:type="dxa"/>
            <w:shd w:val="clear" w:color="auto" w:fill="auto"/>
            <w:vAlign w:val="center"/>
          </w:tcPr>
          <w:p>
            <w:pPr>
              <w:pStyle w:val="46"/>
              <w:spacing w:before="19" w:line="360" w:lineRule="auto"/>
              <w:ind w:left="108"/>
              <w:jc w:val="both"/>
              <w:rPr>
                <w:sz w:val="21"/>
                <w:szCs w:val="21"/>
              </w:rPr>
            </w:pPr>
            <w:r>
              <w:rPr>
                <w:rFonts w:hint="eastAsia"/>
                <w:sz w:val="21"/>
                <w:szCs w:val="21"/>
              </w:rPr>
              <w:t>响应文件的纸质版文件份数：正本</w:t>
            </w:r>
            <w:r>
              <w:rPr>
                <w:sz w:val="21"/>
                <w:szCs w:val="21"/>
              </w:rPr>
              <w:t>1份；副本</w:t>
            </w:r>
            <w:r>
              <w:rPr>
                <w:rFonts w:hint="eastAsia"/>
                <w:sz w:val="21"/>
                <w:szCs w:val="21"/>
                <w:lang w:val="en-US" w:eastAsia="zh-CN"/>
              </w:rPr>
              <w:t>3</w:t>
            </w:r>
            <w:r>
              <w:rPr>
                <w:sz w:val="21"/>
                <w:szCs w:val="21"/>
              </w:rPr>
              <w:t>份，响应文件的正本与副本分开装订，胶装成册。依</w:t>
            </w:r>
            <w:r>
              <w:rPr>
                <w:rFonts w:hint="eastAsia"/>
                <w:sz w:val="21"/>
                <w:szCs w:val="21"/>
              </w:rPr>
              <w:t>磋商</w:t>
            </w:r>
            <w:r>
              <w:rPr>
                <w:sz w:val="21"/>
                <w:szCs w:val="21"/>
              </w:rPr>
              <w:t>文件要求加盖投标供应商</w:t>
            </w:r>
            <w:r>
              <w:rPr>
                <w:rFonts w:hint="eastAsia"/>
                <w:sz w:val="21"/>
                <w:szCs w:val="21"/>
              </w:rPr>
              <w:t>公章</w:t>
            </w:r>
            <w:r>
              <w:rPr>
                <w:sz w:val="21"/>
                <w:szCs w:val="21"/>
              </w:rPr>
              <w:t>，正副本分开密封或集中密封均可。</w:t>
            </w:r>
          </w:p>
          <w:p>
            <w:pPr>
              <w:pStyle w:val="46"/>
              <w:spacing w:before="19" w:line="360" w:lineRule="auto"/>
              <w:ind w:left="108"/>
              <w:jc w:val="both"/>
              <w:rPr>
                <w:sz w:val="21"/>
                <w:szCs w:val="21"/>
              </w:rPr>
            </w:pPr>
            <w:r>
              <w:rPr>
                <w:rFonts w:hint="eastAsia"/>
                <w:sz w:val="21"/>
                <w:szCs w:val="21"/>
              </w:rPr>
              <w:t>供应商应将响应文件密封装订，标明采购人名称，项目名称及供应商名称并于袋口密封处加盖。</w:t>
            </w:r>
          </w:p>
          <w:p>
            <w:pPr>
              <w:pStyle w:val="46"/>
              <w:spacing w:before="19" w:line="360" w:lineRule="auto"/>
              <w:ind w:left="108"/>
              <w:jc w:val="both"/>
              <w:rPr>
                <w:sz w:val="21"/>
                <w:szCs w:val="21"/>
              </w:rPr>
            </w:pPr>
            <w:r>
              <w:rPr>
                <w:rFonts w:hint="eastAsia"/>
                <w:sz w:val="21"/>
                <w:szCs w:val="21"/>
              </w:rPr>
              <w:t>采购人名称：</w:t>
            </w:r>
            <w:r>
              <w:rPr>
                <w:sz w:val="21"/>
                <w:szCs w:val="21"/>
              </w:rPr>
              <w:t xml:space="preserve"> </w:t>
            </w:r>
          </w:p>
          <w:p>
            <w:pPr>
              <w:pStyle w:val="46"/>
              <w:spacing w:before="19" w:line="360" w:lineRule="auto"/>
              <w:ind w:left="108"/>
              <w:jc w:val="both"/>
              <w:rPr>
                <w:sz w:val="21"/>
                <w:szCs w:val="21"/>
              </w:rPr>
            </w:pPr>
            <w:r>
              <w:rPr>
                <w:sz w:val="21"/>
                <w:szCs w:val="21"/>
              </w:rPr>
              <w:t>XXX(项目名称)响应文件</w:t>
            </w:r>
          </w:p>
          <w:p>
            <w:pPr>
              <w:pStyle w:val="46"/>
              <w:spacing w:before="19" w:line="360" w:lineRule="auto"/>
              <w:ind w:left="108"/>
              <w:jc w:val="both"/>
              <w:rPr>
                <w:sz w:val="21"/>
                <w:szCs w:val="21"/>
              </w:rPr>
            </w:pPr>
            <w:r>
              <w:rPr>
                <w:rFonts w:hint="eastAsia"/>
                <w:sz w:val="21"/>
                <w:szCs w:val="21"/>
              </w:rPr>
              <w:t>供应商名称：</w:t>
            </w:r>
            <w:r>
              <w:rPr>
                <w:sz w:val="21"/>
                <w:szCs w:val="21"/>
              </w:rPr>
              <w:t xml:space="preserve">              （盖响应单位）</w:t>
            </w:r>
          </w:p>
          <w:p>
            <w:pPr>
              <w:pStyle w:val="46"/>
              <w:spacing w:before="19" w:line="360" w:lineRule="auto"/>
              <w:ind w:left="108"/>
              <w:jc w:val="both"/>
              <w:rPr>
                <w:sz w:val="21"/>
                <w:szCs w:val="21"/>
              </w:rPr>
            </w:pPr>
            <w:r>
              <w:rPr>
                <w:rFonts w:hint="eastAsia"/>
                <w:sz w:val="21"/>
                <w:szCs w:val="21"/>
              </w:rPr>
              <w:t>响应单位地址：</w:t>
            </w:r>
            <w:r>
              <w:rPr>
                <w:sz w:val="21"/>
                <w:szCs w:val="21"/>
              </w:rPr>
              <w:t xml:space="preserve">                        </w:t>
            </w:r>
          </w:p>
          <w:p>
            <w:pPr>
              <w:pStyle w:val="46"/>
              <w:spacing w:before="16" w:line="360" w:lineRule="auto"/>
              <w:ind w:left="108"/>
              <w:jc w:val="both"/>
              <w:rPr>
                <w:sz w:val="21"/>
                <w:szCs w:val="21"/>
              </w:rPr>
            </w:pPr>
            <w:r>
              <w:rPr>
                <w:rFonts w:hint="eastAsia"/>
                <w:sz w:val="21"/>
                <w:szCs w:val="21"/>
              </w:rPr>
              <w:t>在</w:t>
            </w:r>
            <w:r>
              <w:rPr>
                <w:sz w:val="21"/>
                <w:szCs w:val="21"/>
              </w:rPr>
              <w:t xml:space="preserve">    年  月  日  时  分（</w:t>
            </w:r>
            <w:r>
              <w:rPr>
                <w:rFonts w:hint="eastAsia"/>
                <w:sz w:val="21"/>
                <w:szCs w:val="21"/>
              </w:rPr>
              <w:t>磋商</w:t>
            </w:r>
            <w:r>
              <w:rPr>
                <w:sz w:val="21"/>
                <w:szCs w:val="21"/>
              </w:rPr>
              <w:t>时间）前不得开启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shd w:val="clear" w:color="auto" w:fill="auto"/>
            <w:vAlign w:val="center"/>
          </w:tcPr>
          <w:p>
            <w:pPr>
              <w:pStyle w:val="46"/>
              <w:spacing w:line="360" w:lineRule="auto"/>
              <w:ind w:right="249"/>
              <w:jc w:val="center"/>
              <w:rPr>
                <w:sz w:val="21"/>
                <w:szCs w:val="21"/>
                <w:lang w:val="en-US"/>
              </w:rPr>
            </w:pPr>
            <w:r>
              <w:rPr>
                <w:rFonts w:hint="eastAsia"/>
                <w:sz w:val="21"/>
                <w:szCs w:val="21"/>
                <w:lang w:val="en-US"/>
              </w:rPr>
              <w:t>9</w:t>
            </w:r>
          </w:p>
        </w:tc>
        <w:tc>
          <w:tcPr>
            <w:tcW w:w="2027" w:type="dxa"/>
            <w:shd w:val="clear" w:color="auto" w:fill="auto"/>
            <w:vAlign w:val="center"/>
          </w:tcPr>
          <w:p>
            <w:pPr>
              <w:pStyle w:val="46"/>
              <w:spacing w:line="360" w:lineRule="auto"/>
              <w:ind w:left="107"/>
              <w:jc w:val="both"/>
              <w:rPr>
                <w:sz w:val="21"/>
                <w:szCs w:val="21"/>
              </w:rPr>
            </w:pPr>
            <w:r>
              <w:rPr>
                <w:sz w:val="21"/>
                <w:szCs w:val="21"/>
              </w:rPr>
              <w:t>磋商现场提交的</w:t>
            </w:r>
          </w:p>
          <w:p>
            <w:pPr>
              <w:pStyle w:val="46"/>
              <w:spacing w:before="160" w:line="360" w:lineRule="auto"/>
              <w:ind w:left="107"/>
              <w:jc w:val="both"/>
              <w:rPr>
                <w:sz w:val="21"/>
                <w:szCs w:val="21"/>
              </w:rPr>
            </w:pPr>
            <w:r>
              <w:rPr>
                <w:sz w:val="21"/>
                <w:szCs w:val="21"/>
              </w:rPr>
              <w:t>其他材料要求</w:t>
            </w:r>
          </w:p>
        </w:tc>
        <w:tc>
          <w:tcPr>
            <w:tcW w:w="5471" w:type="dxa"/>
            <w:shd w:val="clear" w:color="auto" w:fill="auto"/>
            <w:vAlign w:val="center"/>
          </w:tcPr>
          <w:p>
            <w:pPr>
              <w:pStyle w:val="46"/>
              <w:spacing w:line="360" w:lineRule="auto"/>
              <w:rPr>
                <w:rFonts w:hint="eastAsia" w:eastAsia="宋体"/>
                <w:sz w:val="21"/>
                <w:szCs w:val="21"/>
                <w:lang w:eastAsia="zh-CN"/>
              </w:rPr>
            </w:pPr>
            <w:r>
              <w:rPr>
                <w:rFonts w:hint="eastAsia"/>
                <w:sz w:val="21"/>
                <w:szCs w:val="21"/>
              </w:rPr>
              <w:t>1、法人授权委托</w:t>
            </w:r>
            <w:r>
              <w:rPr>
                <w:rFonts w:hint="eastAsia"/>
                <w:sz w:val="21"/>
                <w:szCs w:val="21"/>
                <w:lang w:val="en-US" w:eastAsia="zh-CN"/>
              </w:rPr>
              <w:t>人参加：提供</w:t>
            </w:r>
            <w:r>
              <w:rPr>
                <w:rFonts w:hint="eastAsia"/>
                <w:sz w:val="21"/>
                <w:szCs w:val="21"/>
              </w:rPr>
              <w:t>法人授权委托书原件</w:t>
            </w:r>
            <w:r>
              <w:rPr>
                <w:rFonts w:hint="eastAsia"/>
                <w:sz w:val="21"/>
                <w:szCs w:val="21"/>
                <w:lang w:eastAsia="zh-CN"/>
              </w:rPr>
              <w:t>；</w:t>
            </w:r>
          </w:p>
          <w:p>
            <w:pPr>
              <w:pStyle w:val="46"/>
              <w:spacing w:line="360" w:lineRule="auto"/>
              <w:jc w:val="both"/>
              <w:rPr>
                <w:rFonts w:hint="eastAsia" w:eastAsia="宋体"/>
                <w:sz w:val="21"/>
                <w:szCs w:val="21"/>
                <w:lang w:val="en-US" w:eastAsia="zh-CN"/>
              </w:rPr>
            </w:pPr>
            <w:r>
              <w:rPr>
                <w:rFonts w:hint="eastAsia"/>
                <w:sz w:val="21"/>
                <w:szCs w:val="21"/>
              </w:rPr>
              <w:t>2、法定代表人</w:t>
            </w:r>
            <w:r>
              <w:rPr>
                <w:rFonts w:hint="eastAsia"/>
                <w:sz w:val="21"/>
                <w:szCs w:val="21"/>
                <w:lang w:val="en-US" w:eastAsia="zh-CN"/>
              </w:rPr>
              <w:t>参加：提供</w:t>
            </w:r>
            <w:r>
              <w:rPr>
                <w:rFonts w:hint="eastAsia"/>
                <w:sz w:val="21"/>
                <w:szCs w:val="21"/>
              </w:rPr>
              <w:t>法定代表人</w:t>
            </w:r>
            <w:r>
              <w:rPr>
                <w:rFonts w:hint="eastAsia"/>
                <w:sz w:val="21"/>
                <w:szCs w:val="21"/>
                <w:lang w:val="en-US" w:eastAsia="zh-CN"/>
              </w:rPr>
              <w:t>身份证明原件。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shd w:val="clear" w:color="auto" w:fill="auto"/>
            <w:vAlign w:val="center"/>
          </w:tcPr>
          <w:p>
            <w:pPr>
              <w:pStyle w:val="46"/>
              <w:spacing w:line="360" w:lineRule="auto"/>
              <w:ind w:right="249"/>
              <w:jc w:val="center"/>
              <w:rPr>
                <w:sz w:val="21"/>
                <w:szCs w:val="21"/>
                <w:lang w:val="en-US"/>
              </w:rPr>
            </w:pPr>
            <w:r>
              <w:rPr>
                <w:rFonts w:hint="eastAsia"/>
                <w:sz w:val="21"/>
                <w:szCs w:val="21"/>
                <w:lang w:val="en-US"/>
              </w:rPr>
              <w:t>10</w:t>
            </w:r>
          </w:p>
        </w:tc>
        <w:tc>
          <w:tcPr>
            <w:tcW w:w="2027" w:type="dxa"/>
            <w:shd w:val="clear" w:color="auto" w:fill="auto"/>
            <w:vAlign w:val="center"/>
          </w:tcPr>
          <w:p>
            <w:pPr>
              <w:pStyle w:val="46"/>
              <w:spacing w:line="360" w:lineRule="auto"/>
              <w:ind w:left="107"/>
              <w:jc w:val="both"/>
              <w:rPr>
                <w:sz w:val="21"/>
                <w:szCs w:val="21"/>
              </w:rPr>
            </w:pPr>
            <w:r>
              <w:rPr>
                <w:sz w:val="21"/>
                <w:szCs w:val="21"/>
              </w:rPr>
              <w:t>响应文件提交截</w:t>
            </w:r>
          </w:p>
          <w:p>
            <w:pPr>
              <w:pStyle w:val="46"/>
              <w:spacing w:before="160" w:line="360" w:lineRule="auto"/>
              <w:ind w:left="107"/>
              <w:jc w:val="both"/>
              <w:rPr>
                <w:sz w:val="21"/>
                <w:szCs w:val="21"/>
              </w:rPr>
            </w:pPr>
            <w:r>
              <w:rPr>
                <w:sz w:val="21"/>
                <w:szCs w:val="21"/>
              </w:rPr>
              <w:t>止时间</w:t>
            </w:r>
          </w:p>
        </w:tc>
        <w:tc>
          <w:tcPr>
            <w:tcW w:w="5471" w:type="dxa"/>
            <w:shd w:val="clear" w:color="auto" w:fill="auto"/>
            <w:vAlign w:val="center"/>
          </w:tcPr>
          <w:p>
            <w:pPr>
              <w:pStyle w:val="46"/>
              <w:spacing w:line="360" w:lineRule="auto"/>
              <w:jc w:val="both"/>
              <w:rPr>
                <w:sz w:val="21"/>
                <w:szCs w:val="21"/>
              </w:rPr>
            </w:pPr>
            <w:r>
              <w:rPr>
                <w:sz w:val="21"/>
                <w:szCs w:val="21"/>
                <w:u w:val="single"/>
              </w:rPr>
              <w:t>详见磋商公告（磋商邀请）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vMerge w:val="restart"/>
            <w:shd w:val="clear" w:color="auto" w:fill="auto"/>
            <w:vAlign w:val="center"/>
          </w:tcPr>
          <w:p>
            <w:pPr>
              <w:pStyle w:val="46"/>
              <w:spacing w:before="1" w:line="360" w:lineRule="auto"/>
              <w:jc w:val="center"/>
              <w:rPr>
                <w:sz w:val="21"/>
                <w:szCs w:val="21"/>
                <w:lang w:val="en-US"/>
              </w:rPr>
            </w:pPr>
            <w:r>
              <w:rPr>
                <w:sz w:val="21"/>
                <w:szCs w:val="21"/>
                <w:lang w:eastAsia="en-US"/>
              </w:rPr>
              <w:t>1</w:t>
            </w:r>
            <w:r>
              <w:rPr>
                <w:rFonts w:hint="eastAsia"/>
                <w:sz w:val="21"/>
                <w:szCs w:val="21"/>
                <w:lang w:val="en-US"/>
              </w:rPr>
              <w:t>1</w:t>
            </w:r>
          </w:p>
        </w:tc>
        <w:tc>
          <w:tcPr>
            <w:tcW w:w="2027" w:type="dxa"/>
            <w:shd w:val="clear" w:color="auto" w:fill="auto"/>
            <w:vAlign w:val="center"/>
          </w:tcPr>
          <w:p>
            <w:pPr>
              <w:pStyle w:val="46"/>
              <w:spacing w:before="16" w:line="360" w:lineRule="auto"/>
              <w:ind w:left="107"/>
              <w:jc w:val="both"/>
              <w:rPr>
                <w:sz w:val="21"/>
                <w:szCs w:val="21"/>
                <w:lang w:eastAsia="en-US"/>
              </w:rPr>
            </w:pPr>
            <w:r>
              <w:rPr>
                <w:sz w:val="21"/>
                <w:szCs w:val="21"/>
                <w:lang w:eastAsia="en-US"/>
              </w:rPr>
              <w:t>磋商时间</w:t>
            </w:r>
          </w:p>
        </w:tc>
        <w:tc>
          <w:tcPr>
            <w:tcW w:w="5471" w:type="dxa"/>
            <w:shd w:val="clear" w:color="auto" w:fill="auto"/>
            <w:vAlign w:val="center"/>
          </w:tcPr>
          <w:p>
            <w:pPr>
              <w:pStyle w:val="46"/>
              <w:spacing w:before="16" w:line="360" w:lineRule="auto"/>
              <w:ind w:left="108"/>
              <w:jc w:val="both"/>
              <w:rPr>
                <w:sz w:val="21"/>
                <w:szCs w:val="21"/>
              </w:rPr>
            </w:pPr>
            <w:r>
              <w:rPr>
                <w:sz w:val="21"/>
                <w:szCs w:val="21"/>
                <w:u w:val="single"/>
              </w:rPr>
              <w:t>详见磋商公告（磋商邀请）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vMerge w:val="continue"/>
            <w:tcBorders>
              <w:top w:val="nil"/>
            </w:tcBorders>
            <w:shd w:val="clear" w:color="auto" w:fill="auto"/>
            <w:vAlign w:val="center"/>
          </w:tcPr>
          <w:p>
            <w:pPr>
              <w:autoSpaceDE w:val="0"/>
              <w:autoSpaceDN w:val="0"/>
              <w:spacing w:line="360" w:lineRule="auto"/>
              <w:jc w:val="center"/>
              <w:rPr>
                <w:rFonts w:ascii="宋体" w:hAnsi="宋体"/>
                <w:kern w:val="0"/>
              </w:rPr>
            </w:pPr>
          </w:p>
        </w:tc>
        <w:tc>
          <w:tcPr>
            <w:tcW w:w="2027" w:type="dxa"/>
            <w:shd w:val="clear" w:color="auto" w:fill="auto"/>
            <w:vAlign w:val="center"/>
          </w:tcPr>
          <w:p>
            <w:pPr>
              <w:pStyle w:val="46"/>
              <w:spacing w:before="16" w:line="360" w:lineRule="auto"/>
              <w:ind w:left="107"/>
              <w:jc w:val="both"/>
              <w:rPr>
                <w:sz w:val="21"/>
                <w:szCs w:val="21"/>
                <w:lang w:eastAsia="en-US"/>
              </w:rPr>
            </w:pPr>
            <w:r>
              <w:rPr>
                <w:sz w:val="21"/>
                <w:szCs w:val="21"/>
                <w:lang w:eastAsia="en-US"/>
              </w:rPr>
              <w:t>磋商地点</w:t>
            </w:r>
          </w:p>
        </w:tc>
        <w:tc>
          <w:tcPr>
            <w:tcW w:w="5471" w:type="dxa"/>
            <w:shd w:val="clear" w:color="auto" w:fill="auto"/>
            <w:vAlign w:val="center"/>
          </w:tcPr>
          <w:p>
            <w:pPr>
              <w:pStyle w:val="46"/>
              <w:spacing w:before="16" w:line="360" w:lineRule="auto"/>
              <w:ind w:left="108"/>
              <w:jc w:val="both"/>
              <w:rPr>
                <w:sz w:val="21"/>
                <w:szCs w:val="21"/>
              </w:rPr>
            </w:pPr>
            <w:r>
              <w:rPr>
                <w:sz w:val="21"/>
                <w:szCs w:val="21"/>
                <w:u w:val="single"/>
              </w:rPr>
              <w:t>详见磋商公告（磋商邀请）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shd w:val="clear" w:color="auto" w:fill="auto"/>
            <w:vAlign w:val="center"/>
          </w:tcPr>
          <w:p>
            <w:pPr>
              <w:pStyle w:val="46"/>
              <w:spacing w:before="19" w:line="360" w:lineRule="auto"/>
              <w:ind w:right="249"/>
              <w:jc w:val="center"/>
              <w:rPr>
                <w:sz w:val="21"/>
                <w:szCs w:val="21"/>
                <w:lang w:val="en-US"/>
              </w:rPr>
            </w:pPr>
            <w:r>
              <w:rPr>
                <w:sz w:val="21"/>
                <w:szCs w:val="21"/>
                <w:lang w:eastAsia="en-US"/>
              </w:rPr>
              <w:t>1</w:t>
            </w:r>
            <w:r>
              <w:rPr>
                <w:rFonts w:hint="eastAsia"/>
                <w:sz w:val="21"/>
                <w:szCs w:val="21"/>
                <w:lang w:val="en-US"/>
              </w:rPr>
              <w:t>2</w:t>
            </w:r>
          </w:p>
        </w:tc>
        <w:tc>
          <w:tcPr>
            <w:tcW w:w="2027" w:type="dxa"/>
            <w:shd w:val="clear" w:color="auto" w:fill="auto"/>
            <w:vAlign w:val="center"/>
          </w:tcPr>
          <w:p>
            <w:pPr>
              <w:pStyle w:val="46"/>
              <w:spacing w:before="19" w:line="360" w:lineRule="auto"/>
              <w:ind w:left="107"/>
              <w:jc w:val="both"/>
              <w:rPr>
                <w:sz w:val="21"/>
                <w:szCs w:val="21"/>
                <w:lang w:eastAsia="en-US"/>
              </w:rPr>
            </w:pPr>
            <w:r>
              <w:rPr>
                <w:sz w:val="21"/>
                <w:szCs w:val="21"/>
                <w:lang w:eastAsia="en-US"/>
              </w:rPr>
              <w:t>评审方法</w:t>
            </w:r>
          </w:p>
        </w:tc>
        <w:tc>
          <w:tcPr>
            <w:tcW w:w="5471" w:type="dxa"/>
            <w:shd w:val="clear" w:color="auto" w:fill="auto"/>
            <w:vAlign w:val="center"/>
          </w:tcPr>
          <w:p>
            <w:pPr>
              <w:pStyle w:val="46"/>
              <w:spacing w:before="19" w:line="360" w:lineRule="auto"/>
              <w:ind w:left="108"/>
              <w:jc w:val="both"/>
              <w:rPr>
                <w:sz w:val="21"/>
                <w:szCs w:val="21"/>
                <w:lang w:eastAsia="en-US"/>
              </w:rPr>
            </w:pPr>
            <w:r>
              <w:rPr>
                <w:sz w:val="21"/>
                <w:szCs w:val="21"/>
                <w:u w:val="single"/>
                <w:lang w:eastAsia="en-US"/>
              </w:rPr>
              <w:t>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atLeast"/>
        </w:trPr>
        <w:tc>
          <w:tcPr>
            <w:tcW w:w="1004" w:type="dxa"/>
            <w:shd w:val="clear" w:color="auto" w:fill="auto"/>
            <w:vAlign w:val="center"/>
          </w:tcPr>
          <w:p>
            <w:pPr>
              <w:pStyle w:val="46"/>
              <w:spacing w:before="213" w:line="360" w:lineRule="auto"/>
              <w:jc w:val="center"/>
              <w:rPr>
                <w:sz w:val="21"/>
                <w:szCs w:val="21"/>
                <w:lang w:val="en-US"/>
              </w:rPr>
            </w:pPr>
            <w:r>
              <w:rPr>
                <w:rFonts w:hint="eastAsia"/>
                <w:sz w:val="21"/>
                <w:szCs w:val="21"/>
                <w:lang w:val="en-US"/>
              </w:rPr>
              <w:t>13</w:t>
            </w:r>
          </w:p>
        </w:tc>
        <w:tc>
          <w:tcPr>
            <w:tcW w:w="2027" w:type="dxa"/>
            <w:shd w:val="clear" w:color="auto" w:fill="auto"/>
            <w:vAlign w:val="center"/>
          </w:tcPr>
          <w:p>
            <w:pPr>
              <w:pStyle w:val="46"/>
              <w:spacing w:before="21" w:line="360" w:lineRule="auto"/>
              <w:ind w:left="107" w:right="74"/>
              <w:jc w:val="both"/>
              <w:rPr>
                <w:sz w:val="21"/>
                <w:szCs w:val="21"/>
              </w:rPr>
            </w:pPr>
            <w:r>
              <w:rPr>
                <w:sz w:val="21"/>
                <w:szCs w:val="21"/>
              </w:rPr>
              <w:t>确定成交候选供应商和成交供应商</w:t>
            </w:r>
          </w:p>
        </w:tc>
        <w:tc>
          <w:tcPr>
            <w:tcW w:w="5471" w:type="dxa"/>
            <w:shd w:val="clear" w:color="auto" w:fill="auto"/>
            <w:vAlign w:val="center"/>
          </w:tcPr>
          <w:p>
            <w:pPr>
              <w:pStyle w:val="46"/>
              <w:tabs>
                <w:tab w:val="left" w:pos="5415"/>
              </w:tabs>
              <w:spacing w:before="16" w:line="360" w:lineRule="auto"/>
              <w:ind w:left="108"/>
              <w:jc w:val="both"/>
              <w:rPr>
                <w:sz w:val="21"/>
                <w:szCs w:val="21"/>
              </w:rPr>
            </w:pPr>
            <w:r>
              <w:rPr>
                <w:sz w:val="21"/>
                <w:szCs w:val="21"/>
              </w:rPr>
              <w:t>磋商小组推荐成交候选供应商的数量：</w:t>
            </w:r>
            <w:r>
              <w:rPr>
                <w:rFonts w:hint="eastAsia"/>
                <w:sz w:val="21"/>
                <w:szCs w:val="21"/>
                <w:lang w:val="en-US" w:eastAsia="zh-CN"/>
              </w:rPr>
              <w:t>3名及以上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4" w:type="dxa"/>
            <w:shd w:val="clear" w:color="auto" w:fill="auto"/>
            <w:vAlign w:val="center"/>
          </w:tcPr>
          <w:p>
            <w:pPr>
              <w:pStyle w:val="46"/>
              <w:spacing w:line="360" w:lineRule="auto"/>
              <w:ind w:right="249"/>
              <w:jc w:val="center"/>
              <w:rPr>
                <w:sz w:val="21"/>
                <w:szCs w:val="21"/>
                <w:lang w:val="en-US"/>
              </w:rPr>
            </w:pPr>
            <w:r>
              <w:rPr>
                <w:rFonts w:hint="eastAsia"/>
                <w:sz w:val="21"/>
                <w:szCs w:val="21"/>
                <w:lang w:val="en-US"/>
              </w:rPr>
              <w:t>14</w:t>
            </w:r>
          </w:p>
        </w:tc>
        <w:tc>
          <w:tcPr>
            <w:tcW w:w="2027" w:type="dxa"/>
            <w:shd w:val="clear" w:color="auto" w:fill="auto"/>
            <w:vAlign w:val="center"/>
          </w:tcPr>
          <w:p>
            <w:pPr>
              <w:pStyle w:val="46"/>
              <w:spacing w:line="360" w:lineRule="auto"/>
              <w:ind w:left="107"/>
              <w:jc w:val="both"/>
              <w:rPr>
                <w:sz w:val="21"/>
                <w:szCs w:val="21"/>
                <w:lang w:eastAsia="en-US"/>
              </w:rPr>
            </w:pPr>
            <w:r>
              <w:rPr>
                <w:sz w:val="21"/>
                <w:szCs w:val="21"/>
                <w:lang w:eastAsia="en-US"/>
              </w:rPr>
              <w:t>告知磋商结果的形式</w:t>
            </w:r>
          </w:p>
        </w:tc>
        <w:tc>
          <w:tcPr>
            <w:tcW w:w="5471" w:type="dxa"/>
            <w:shd w:val="clear" w:color="auto" w:fill="auto"/>
            <w:vAlign w:val="center"/>
          </w:tcPr>
          <w:p>
            <w:pPr>
              <w:pStyle w:val="46"/>
              <w:spacing w:before="158" w:line="360" w:lineRule="auto"/>
              <w:ind w:left="108"/>
              <w:jc w:val="both"/>
              <w:rPr>
                <w:sz w:val="21"/>
                <w:szCs w:val="21"/>
              </w:rPr>
            </w:pPr>
            <w:r>
              <w:rPr>
                <w:rFonts w:hint="eastAsia"/>
                <w:sz w:val="21"/>
                <w:szCs w:val="21"/>
              </w:rPr>
              <w:t>供应商自行登录</w:t>
            </w:r>
            <w:r>
              <w:rPr>
                <w:rFonts w:hint="eastAsia"/>
                <w:spacing w:val="-6"/>
                <w:sz w:val="21"/>
                <w:szCs w:val="21"/>
                <w:lang w:eastAsia="zh-CN"/>
              </w:rPr>
              <w:t>《界首市人民政府网》《农业全程网》</w:t>
            </w:r>
            <w:r>
              <w:rPr>
                <w:rFonts w:hint="eastAsia"/>
                <w:sz w:val="21"/>
                <w:szCs w:val="21"/>
              </w:rPr>
              <w:t>查看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1" w:hRule="atLeast"/>
        </w:trPr>
        <w:tc>
          <w:tcPr>
            <w:tcW w:w="1004" w:type="dxa"/>
            <w:shd w:val="clear" w:color="auto" w:fill="auto"/>
            <w:vAlign w:val="center"/>
          </w:tcPr>
          <w:p>
            <w:pPr>
              <w:pStyle w:val="46"/>
              <w:spacing w:before="168" w:line="360" w:lineRule="auto"/>
              <w:ind w:right="249"/>
              <w:jc w:val="center"/>
              <w:rPr>
                <w:sz w:val="21"/>
                <w:szCs w:val="21"/>
                <w:lang w:val="en-US"/>
              </w:rPr>
            </w:pPr>
            <w:r>
              <w:rPr>
                <w:rFonts w:hint="eastAsia"/>
                <w:sz w:val="21"/>
                <w:szCs w:val="21"/>
                <w:lang w:val="en-US"/>
              </w:rPr>
              <w:t>15</w:t>
            </w:r>
          </w:p>
        </w:tc>
        <w:tc>
          <w:tcPr>
            <w:tcW w:w="2027" w:type="dxa"/>
            <w:shd w:val="clear" w:color="auto" w:fill="auto"/>
            <w:vAlign w:val="center"/>
          </w:tcPr>
          <w:p>
            <w:pPr>
              <w:pStyle w:val="46"/>
              <w:spacing w:before="168" w:line="360" w:lineRule="auto"/>
              <w:jc w:val="both"/>
              <w:rPr>
                <w:sz w:val="21"/>
                <w:szCs w:val="21"/>
                <w:lang w:eastAsia="en-US"/>
              </w:rPr>
            </w:pPr>
            <w:r>
              <w:rPr>
                <w:sz w:val="21"/>
                <w:szCs w:val="21"/>
                <w:lang w:eastAsia="en-US"/>
              </w:rPr>
              <w:t>履约保证金</w:t>
            </w:r>
          </w:p>
        </w:tc>
        <w:tc>
          <w:tcPr>
            <w:tcW w:w="5471" w:type="dxa"/>
            <w:shd w:val="clear" w:color="auto" w:fill="auto"/>
            <w:vAlign w:val="center"/>
          </w:tcPr>
          <w:p>
            <w:pPr>
              <w:spacing w:line="520" w:lineRule="exact"/>
              <w:rPr>
                <w:rFonts w:ascii="宋体" w:hAnsi="宋体"/>
              </w:rPr>
            </w:pPr>
            <w:r>
              <w:rPr>
                <w:rFonts w:hint="eastAsia" w:ascii="宋体" w:hAnsi="宋体"/>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3" w:hRule="atLeast"/>
        </w:trPr>
        <w:tc>
          <w:tcPr>
            <w:tcW w:w="1004" w:type="dxa"/>
            <w:shd w:val="clear" w:color="auto" w:fill="auto"/>
            <w:vAlign w:val="center"/>
          </w:tcPr>
          <w:p>
            <w:pPr>
              <w:pStyle w:val="46"/>
              <w:spacing w:line="360" w:lineRule="auto"/>
              <w:ind w:right="109"/>
              <w:jc w:val="center"/>
              <w:rPr>
                <w:sz w:val="21"/>
                <w:szCs w:val="21"/>
                <w:lang w:val="en-US"/>
              </w:rPr>
            </w:pPr>
            <w:r>
              <w:rPr>
                <w:rFonts w:hint="eastAsia"/>
                <w:sz w:val="21"/>
                <w:szCs w:val="21"/>
                <w:lang w:val="en-US"/>
              </w:rPr>
              <w:t>16</w:t>
            </w:r>
          </w:p>
        </w:tc>
        <w:tc>
          <w:tcPr>
            <w:tcW w:w="2027" w:type="dxa"/>
            <w:shd w:val="clear" w:color="auto" w:fill="auto"/>
            <w:vAlign w:val="center"/>
          </w:tcPr>
          <w:p>
            <w:pPr>
              <w:pStyle w:val="46"/>
              <w:spacing w:line="360" w:lineRule="auto"/>
              <w:jc w:val="both"/>
              <w:rPr>
                <w:sz w:val="21"/>
                <w:szCs w:val="21"/>
                <w:lang w:eastAsia="en-US"/>
              </w:rPr>
            </w:pPr>
            <w:r>
              <w:rPr>
                <w:sz w:val="21"/>
                <w:szCs w:val="21"/>
                <w:lang w:eastAsia="en-US"/>
              </w:rPr>
              <w:t>成交服务费</w:t>
            </w:r>
          </w:p>
        </w:tc>
        <w:tc>
          <w:tcPr>
            <w:tcW w:w="5471" w:type="dxa"/>
            <w:shd w:val="clear" w:color="auto" w:fill="auto"/>
            <w:vAlign w:val="center"/>
          </w:tcPr>
          <w:p>
            <w:pPr>
              <w:autoSpaceDE w:val="0"/>
              <w:autoSpaceDN w:val="0"/>
              <w:spacing w:line="360" w:lineRule="auto"/>
              <w:rPr>
                <w:rFonts w:hint="eastAsia"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代理服务费：参考国家计委计价【2002】1980号文件标准收取。</w:t>
            </w:r>
          </w:p>
          <w:p>
            <w:pPr>
              <w:pStyle w:val="2"/>
              <w:rPr>
                <w:rFonts w:hint="default" w:eastAsia="宋体"/>
                <w:sz w:val="21"/>
                <w:szCs w:val="21"/>
                <w:lang w:val="en-US" w:eastAsia="zh-CN"/>
              </w:rPr>
            </w:pPr>
            <w:r>
              <w:rPr>
                <w:rFonts w:hint="eastAsia"/>
                <w:color w:val="000000" w:themeColor="text1"/>
                <w:kern w:val="0"/>
                <w:sz w:val="21"/>
                <w:szCs w:val="21"/>
                <w:lang w:val="en-US" w:eastAsia="zh-CN"/>
                <w14:textFill>
                  <w14:solidFill>
                    <w14:schemeClr w14:val="tx1"/>
                  </w14:solidFill>
                </w14:textFill>
              </w:rPr>
              <w:t>专家评审费另付。</w:t>
            </w:r>
          </w:p>
          <w:p>
            <w:pPr>
              <w:autoSpaceDE w:val="0"/>
              <w:autoSpaceDN w:val="0"/>
              <w:spacing w:line="360" w:lineRule="auto"/>
              <w:rPr>
                <w:rFonts w:ascii="宋体" w:hAnsi="宋体"/>
                <w:kern w:val="0"/>
              </w:rPr>
            </w:pPr>
            <w:r>
              <w:rPr>
                <w:rFonts w:ascii="宋体" w:hAnsi="宋体" w:cs="宋体"/>
                <w:bCs/>
                <w:kern w:val="0"/>
              </w:rPr>
              <w:t>以上费用，不单独列出，供应商自行考虑，含在投标报价中</w:t>
            </w:r>
            <w:r>
              <w:rPr>
                <w:rFonts w:hint="eastAsia" w:ascii="宋体" w:hAnsi="宋体" w:cs="宋体"/>
                <w:bCs/>
                <w:kern w:val="0"/>
              </w:rPr>
              <w:t>，在领取中标通知书时支付</w:t>
            </w:r>
            <w:r>
              <w:rPr>
                <w:rFonts w:ascii="宋体" w:hAnsi="宋体" w:cs="宋体"/>
                <w:bCs/>
                <w:kern w:val="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3" w:hRule="atLeast"/>
        </w:trPr>
        <w:tc>
          <w:tcPr>
            <w:tcW w:w="1004" w:type="dxa"/>
            <w:shd w:val="clear" w:color="auto" w:fill="auto"/>
            <w:vAlign w:val="center"/>
          </w:tcPr>
          <w:p>
            <w:pPr>
              <w:pStyle w:val="46"/>
              <w:spacing w:line="360" w:lineRule="auto"/>
              <w:ind w:right="109"/>
              <w:jc w:val="center"/>
              <w:rPr>
                <w:sz w:val="21"/>
                <w:szCs w:val="21"/>
                <w:lang w:val="en-US"/>
              </w:rPr>
            </w:pPr>
            <w:r>
              <w:rPr>
                <w:rFonts w:hint="eastAsia"/>
                <w:sz w:val="21"/>
                <w:szCs w:val="21"/>
                <w:lang w:val="en-US"/>
              </w:rPr>
              <w:t>17</w:t>
            </w:r>
          </w:p>
        </w:tc>
        <w:tc>
          <w:tcPr>
            <w:tcW w:w="2027" w:type="dxa"/>
            <w:shd w:val="clear" w:color="auto" w:fill="auto"/>
            <w:vAlign w:val="center"/>
          </w:tcPr>
          <w:p>
            <w:pPr>
              <w:pStyle w:val="46"/>
              <w:spacing w:line="360" w:lineRule="auto"/>
              <w:jc w:val="both"/>
              <w:rPr>
                <w:sz w:val="21"/>
                <w:szCs w:val="21"/>
                <w:lang w:eastAsia="en-US"/>
              </w:rPr>
            </w:pPr>
            <w:r>
              <w:rPr>
                <w:rFonts w:hint="eastAsia"/>
                <w:sz w:val="21"/>
                <w:szCs w:val="21"/>
              </w:rPr>
              <w:t>磋商保证金</w:t>
            </w:r>
          </w:p>
        </w:tc>
        <w:tc>
          <w:tcPr>
            <w:tcW w:w="5471" w:type="dxa"/>
            <w:shd w:val="clear" w:color="auto" w:fill="auto"/>
            <w:vAlign w:val="center"/>
          </w:tcPr>
          <w:p>
            <w:pPr>
              <w:pStyle w:val="35"/>
              <w:numPr>
                <w:ilvl w:val="0"/>
                <w:numId w:val="2"/>
              </w:numPr>
              <w:autoSpaceDE w:val="0"/>
              <w:autoSpaceDN w:val="0"/>
              <w:spacing w:line="360" w:lineRule="auto"/>
              <w:ind w:firstLineChars="0"/>
              <w:rPr>
                <w:rFonts w:ascii="宋体" w:hAnsi="宋体"/>
                <w:kern w:val="0"/>
              </w:rPr>
            </w:pPr>
            <w:r>
              <w:rPr>
                <w:rFonts w:hint="eastAsia" w:ascii="宋体" w:hAnsi="宋体"/>
                <w:kern w:val="0"/>
              </w:rPr>
              <w:t>金额：</w:t>
            </w:r>
            <w:r>
              <w:rPr>
                <w:rFonts w:hint="eastAsia" w:ascii="宋体" w:hAnsi="宋体"/>
                <w:kern w:val="0"/>
                <w:lang w:val="en-US" w:eastAsia="zh-CN"/>
              </w:rPr>
              <w:t>45</w:t>
            </w:r>
            <w:r>
              <w:rPr>
                <w:rFonts w:ascii="宋体" w:hAnsi="宋体"/>
                <w:kern w:val="0"/>
              </w:rPr>
              <w:t>00</w:t>
            </w:r>
            <w:r>
              <w:rPr>
                <w:rFonts w:hint="eastAsia" w:ascii="宋体" w:hAnsi="宋体"/>
                <w:kern w:val="0"/>
              </w:rPr>
              <w:t>元</w:t>
            </w:r>
          </w:p>
          <w:p>
            <w:pPr>
              <w:autoSpaceDE w:val="0"/>
              <w:autoSpaceDN w:val="0"/>
              <w:spacing w:line="360" w:lineRule="auto"/>
              <w:ind w:firstLine="420" w:firstLineChars="200"/>
              <w:rPr>
                <w:rFonts w:ascii="宋体" w:hAnsi="宋体"/>
                <w:kern w:val="0"/>
              </w:rPr>
            </w:pPr>
            <w:r>
              <w:rPr>
                <w:rFonts w:hint="eastAsia" w:ascii="宋体" w:hAnsi="宋体"/>
                <w:kern w:val="0"/>
              </w:rPr>
              <w:t>保证金递交方式：</w:t>
            </w:r>
            <w:r>
              <w:rPr>
                <w:rFonts w:hint="eastAsia"/>
              </w:rPr>
              <w:t>以现金形式密封包装，标明采购人名称，项目名称及供应商名称并于袋口密封处加盖公章，和响应文件同时递交。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1004" w:type="dxa"/>
            <w:shd w:val="clear" w:color="auto" w:fill="auto"/>
            <w:vAlign w:val="center"/>
          </w:tcPr>
          <w:p>
            <w:pPr>
              <w:pStyle w:val="46"/>
              <w:spacing w:before="19" w:line="360" w:lineRule="auto"/>
              <w:ind w:right="109"/>
              <w:jc w:val="center"/>
              <w:rPr>
                <w:sz w:val="21"/>
                <w:szCs w:val="21"/>
                <w:lang w:val="en-US"/>
              </w:rPr>
            </w:pPr>
            <w:r>
              <w:rPr>
                <w:rFonts w:hint="eastAsia"/>
                <w:sz w:val="21"/>
                <w:szCs w:val="21"/>
                <w:lang w:val="en-US"/>
              </w:rPr>
              <w:t>19</w:t>
            </w:r>
          </w:p>
        </w:tc>
        <w:tc>
          <w:tcPr>
            <w:tcW w:w="2027" w:type="dxa"/>
            <w:shd w:val="clear" w:color="auto" w:fill="auto"/>
            <w:vAlign w:val="center"/>
          </w:tcPr>
          <w:p>
            <w:pPr>
              <w:pStyle w:val="46"/>
              <w:spacing w:before="19" w:line="360" w:lineRule="auto"/>
              <w:ind w:left="107"/>
              <w:jc w:val="both"/>
              <w:rPr>
                <w:sz w:val="21"/>
                <w:szCs w:val="21"/>
                <w:lang w:eastAsia="en-US"/>
              </w:rPr>
            </w:pPr>
            <w:r>
              <w:rPr>
                <w:sz w:val="21"/>
                <w:szCs w:val="21"/>
                <w:lang w:eastAsia="en-US"/>
              </w:rPr>
              <w:t>社保证明材料(如有)</w:t>
            </w:r>
          </w:p>
        </w:tc>
        <w:tc>
          <w:tcPr>
            <w:tcW w:w="5471" w:type="dxa"/>
            <w:shd w:val="clear" w:color="auto" w:fill="auto"/>
            <w:vAlign w:val="center"/>
          </w:tcPr>
          <w:p>
            <w:pPr>
              <w:pStyle w:val="46"/>
              <w:spacing w:line="360" w:lineRule="auto"/>
              <w:ind w:left="108" w:right="90"/>
              <w:jc w:val="both"/>
              <w:rPr>
                <w:sz w:val="21"/>
                <w:szCs w:val="21"/>
              </w:rPr>
            </w:pPr>
            <w:r>
              <w:rPr>
                <w:rFonts w:hint="eastAsia"/>
                <w:sz w:val="21"/>
                <w:szCs w:val="21"/>
              </w:rPr>
              <w:t xml:space="preserve">   </w:t>
            </w:r>
            <w:r>
              <w:rPr>
                <w:sz w:val="21"/>
                <w:szCs w:val="21"/>
              </w:rPr>
              <w:t>本项目磋商文件中要求提供的社保证明材料为下述形式之一（响应文件中须提供扫描件）：</w:t>
            </w:r>
          </w:p>
          <w:p>
            <w:pPr>
              <w:pStyle w:val="46"/>
              <w:numPr>
                <w:ilvl w:val="0"/>
                <w:numId w:val="3"/>
              </w:numPr>
              <w:tabs>
                <w:tab w:val="left" w:pos="710"/>
              </w:tabs>
              <w:spacing w:line="360" w:lineRule="auto"/>
              <w:ind w:hanging="602"/>
              <w:jc w:val="both"/>
              <w:rPr>
                <w:sz w:val="21"/>
                <w:szCs w:val="21"/>
              </w:rPr>
            </w:pPr>
            <w:r>
              <w:rPr>
                <w:sz w:val="21"/>
                <w:szCs w:val="21"/>
              </w:rPr>
              <w:t>社保局官方网站查询的缴费记录截图；</w:t>
            </w:r>
          </w:p>
          <w:p>
            <w:pPr>
              <w:pStyle w:val="46"/>
              <w:numPr>
                <w:ilvl w:val="0"/>
                <w:numId w:val="3"/>
              </w:numPr>
              <w:tabs>
                <w:tab w:val="left" w:pos="710"/>
              </w:tabs>
              <w:spacing w:before="158" w:line="360" w:lineRule="auto"/>
              <w:ind w:hanging="602"/>
              <w:jc w:val="both"/>
              <w:rPr>
                <w:sz w:val="21"/>
                <w:szCs w:val="21"/>
              </w:rPr>
            </w:pPr>
            <w:r>
              <w:rPr>
                <w:sz w:val="21"/>
                <w:szCs w:val="21"/>
              </w:rPr>
              <w:t>社保局的书面证明材料；</w:t>
            </w:r>
          </w:p>
          <w:p>
            <w:pPr>
              <w:pStyle w:val="46"/>
              <w:numPr>
                <w:ilvl w:val="0"/>
                <w:numId w:val="3"/>
              </w:numPr>
              <w:tabs>
                <w:tab w:val="left" w:pos="723"/>
              </w:tabs>
              <w:spacing w:before="160" w:line="360" w:lineRule="auto"/>
              <w:ind w:left="108" w:right="99" w:firstLine="0"/>
              <w:jc w:val="both"/>
              <w:rPr>
                <w:sz w:val="21"/>
                <w:szCs w:val="21"/>
              </w:rPr>
            </w:pPr>
            <w:r>
              <w:rPr>
                <w:sz w:val="21"/>
                <w:szCs w:val="21"/>
              </w:rPr>
              <w:t>经供应商委托的第三方人力资源服务机构或</w:t>
            </w:r>
            <w:r>
              <w:rPr>
                <w:spacing w:val="-3"/>
                <w:sz w:val="21"/>
                <w:szCs w:val="21"/>
              </w:rPr>
              <w:t>与供应商有直接隶属关系的机构可以代缴社保，但</w:t>
            </w:r>
            <w:r>
              <w:rPr>
                <w:sz w:val="21"/>
                <w:szCs w:val="21"/>
              </w:rPr>
              <w:t>须提供有关证明材料并经磋商小组确认。</w:t>
            </w:r>
          </w:p>
          <w:p>
            <w:pPr>
              <w:pStyle w:val="46"/>
              <w:numPr>
                <w:ilvl w:val="0"/>
                <w:numId w:val="3"/>
              </w:numPr>
              <w:tabs>
                <w:tab w:val="left" w:pos="723"/>
              </w:tabs>
              <w:spacing w:line="360" w:lineRule="auto"/>
              <w:ind w:left="108" w:right="99" w:firstLine="0"/>
              <w:jc w:val="both"/>
              <w:rPr>
                <w:sz w:val="21"/>
                <w:szCs w:val="21"/>
              </w:rPr>
            </w:pPr>
            <w:r>
              <w:rPr>
                <w:sz w:val="21"/>
                <w:szCs w:val="21"/>
              </w:rPr>
              <w:t>参与磋商的院校，社保证明可以用以下任意一种：</w:t>
            </w:r>
          </w:p>
          <w:p>
            <w:pPr>
              <w:pStyle w:val="46"/>
              <w:spacing w:line="360" w:lineRule="auto"/>
              <w:ind w:left="108" w:right="95" w:firstLine="480"/>
              <w:jc w:val="both"/>
              <w:rPr>
                <w:sz w:val="21"/>
                <w:szCs w:val="21"/>
              </w:rPr>
            </w:pPr>
            <w:r>
              <w:rPr>
                <w:sz w:val="21"/>
                <w:szCs w:val="21"/>
              </w:rPr>
              <w:t>①加盖供应商公章的教师证（须为本单位人员）；</w:t>
            </w:r>
          </w:p>
          <w:p>
            <w:pPr>
              <w:pStyle w:val="46"/>
              <w:spacing w:before="4" w:line="360" w:lineRule="auto"/>
              <w:ind w:left="588"/>
              <w:jc w:val="both"/>
              <w:rPr>
                <w:sz w:val="21"/>
                <w:szCs w:val="21"/>
                <w:lang w:eastAsia="en-US"/>
              </w:rPr>
            </w:pPr>
            <w:r>
              <w:rPr>
                <w:sz w:val="21"/>
                <w:szCs w:val="21"/>
                <w:lang w:eastAsia="en-US"/>
              </w:rPr>
              <w:t>②医保证明材料。</w:t>
            </w:r>
          </w:p>
          <w:p>
            <w:pPr>
              <w:pStyle w:val="46"/>
              <w:numPr>
                <w:ilvl w:val="0"/>
                <w:numId w:val="3"/>
              </w:numPr>
              <w:tabs>
                <w:tab w:val="left" w:pos="710"/>
              </w:tabs>
              <w:spacing w:before="158" w:line="360" w:lineRule="auto"/>
              <w:ind w:hanging="602"/>
              <w:jc w:val="both"/>
              <w:rPr>
                <w:sz w:val="21"/>
                <w:szCs w:val="21"/>
              </w:rPr>
            </w:pPr>
            <w:r>
              <w:rPr>
                <w:sz w:val="21"/>
                <w:szCs w:val="21"/>
              </w:rPr>
              <w:t>其他经磋商小组认可的证明材料。</w:t>
            </w:r>
          </w:p>
          <w:p>
            <w:pPr>
              <w:pStyle w:val="46"/>
              <w:spacing w:line="360" w:lineRule="auto"/>
              <w:jc w:val="both"/>
              <w:rPr>
                <w:sz w:val="21"/>
                <w:szCs w:val="21"/>
              </w:rPr>
            </w:pPr>
            <w:r>
              <w:rPr>
                <w:sz w:val="21"/>
                <w:szCs w:val="21"/>
              </w:rPr>
              <w:t>法定代表人参与项目的，无需提供社保证明材料，提供身份证明材料即可。</w:t>
            </w:r>
            <w:r>
              <w:rPr>
                <w:rFonts w:hint="eastAsia"/>
                <w:sz w:val="21"/>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1004" w:type="dxa"/>
            <w:shd w:val="clear" w:color="auto" w:fill="auto"/>
            <w:vAlign w:val="center"/>
          </w:tcPr>
          <w:p>
            <w:pPr>
              <w:pStyle w:val="46"/>
              <w:spacing w:before="19" w:line="360" w:lineRule="auto"/>
              <w:ind w:right="109"/>
              <w:jc w:val="center"/>
              <w:rPr>
                <w:sz w:val="21"/>
                <w:szCs w:val="21"/>
                <w:lang w:val="en-US"/>
              </w:rPr>
            </w:pPr>
            <w:r>
              <w:rPr>
                <w:rFonts w:hint="eastAsia"/>
                <w:sz w:val="21"/>
                <w:szCs w:val="21"/>
                <w:lang w:val="en-US"/>
              </w:rPr>
              <w:t>20</w:t>
            </w:r>
          </w:p>
        </w:tc>
        <w:tc>
          <w:tcPr>
            <w:tcW w:w="2027" w:type="dxa"/>
            <w:shd w:val="clear" w:color="auto" w:fill="auto"/>
            <w:vAlign w:val="center"/>
          </w:tcPr>
          <w:p>
            <w:pPr>
              <w:pStyle w:val="46"/>
              <w:tabs>
                <w:tab w:val="left" w:pos="723"/>
              </w:tabs>
              <w:spacing w:before="160" w:line="360" w:lineRule="auto"/>
              <w:ind w:left="108" w:right="99"/>
              <w:jc w:val="both"/>
              <w:rPr>
                <w:sz w:val="21"/>
                <w:szCs w:val="21"/>
              </w:rPr>
            </w:pPr>
            <w:r>
              <w:rPr>
                <w:sz w:val="21"/>
                <w:szCs w:val="21"/>
              </w:rPr>
              <w:t>解释权</w:t>
            </w:r>
          </w:p>
        </w:tc>
        <w:tc>
          <w:tcPr>
            <w:tcW w:w="5471" w:type="dxa"/>
            <w:shd w:val="clear" w:color="auto" w:fill="auto"/>
            <w:vAlign w:val="center"/>
          </w:tcPr>
          <w:p>
            <w:pPr>
              <w:pStyle w:val="35"/>
              <w:tabs>
                <w:tab w:val="left" w:pos="723"/>
              </w:tabs>
              <w:spacing w:before="160"/>
              <w:ind w:left="108" w:right="99" w:firstLine="0" w:firstLineChars="0"/>
              <w:rPr>
                <w:rFonts w:ascii="宋体" w:hAnsi="宋体" w:cs="宋体"/>
                <w:kern w:val="0"/>
                <w:lang w:val="zh-CN" w:bidi="zh-CN"/>
              </w:rPr>
            </w:pPr>
            <w:r>
              <w:rPr>
                <w:rFonts w:hint="eastAsia" w:ascii="宋体" w:hAnsi="宋体" w:cs="宋体"/>
                <w:kern w:val="0"/>
                <w:lang w:bidi="zh-CN"/>
              </w:rPr>
              <w:t>1、</w:t>
            </w:r>
            <w:r>
              <w:rPr>
                <w:rFonts w:ascii="宋体" w:hAnsi="宋体" w:cs="宋体"/>
                <w:kern w:val="0"/>
                <w:lang w:val="zh-CN" w:bidi="zh-CN"/>
              </w:rPr>
              <w:t>构成本磋商文件的各个组成文件应互为解释，互为说明；</w:t>
            </w:r>
          </w:p>
          <w:p>
            <w:pPr>
              <w:tabs>
                <w:tab w:val="left" w:pos="723"/>
              </w:tabs>
              <w:spacing w:before="160"/>
              <w:ind w:left="108" w:right="99"/>
              <w:rPr>
                <w:rFonts w:ascii="宋体" w:hAnsi="宋体" w:cs="宋体"/>
                <w:kern w:val="0"/>
                <w:lang w:val="zh-CN" w:bidi="zh-CN"/>
              </w:rPr>
            </w:pPr>
            <w:r>
              <w:rPr>
                <w:rFonts w:hint="eastAsia" w:ascii="宋体" w:hAnsi="宋体" w:cs="宋体"/>
                <w:kern w:val="0"/>
                <w:lang w:val="zh-CN" w:bidi="zh-CN"/>
              </w:rPr>
              <w:t>2、</w:t>
            </w:r>
            <w:r>
              <w:rPr>
                <w:rFonts w:ascii="宋体" w:hAnsi="宋体" w:cs="宋体"/>
                <w:kern w:val="0"/>
                <w:lang w:val="zh-CN" w:bidi="zh-CN"/>
              </w:rPr>
              <w:t>同一组成文件中就同一事项的规定或约定不一致的，以编排顺序在后者为准；</w:t>
            </w:r>
          </w:p>
          <w:p>
            <w:pPr>
              <w:tabs>
                <w:tab w:val="left" w:pos="723"/>
              </w:tabs>
              <w:spacing w:before="160"/>
              <w:ind w:left="108" w:right="99"/>
              <w:rPr>
                <w:rFonts w:ascii="宋体" w:hAnsi="宋体" w:cs="宋体"/>
                <w:kern w:val="0"/>
                <w:lang w:val="zh-CN" w:bidi="zh-CN"/>
              </w:rPr>
            </w:pPr>
            <w:r>
              <w:rPr>
                <w:rFonts w:ascii="宋体" w:hAnsi="宋体" w:cs="宋体"/>
                <w:kern w:val="0"/>
                <w:lang w:val="zh-CN" w:bidi="zh-CN"/>
              </w:rPr>
              <w:t>3</w:t>
            </w:r>
            <w:r>
              <w:rPr>
                <w:rFonts w:hint="eastAsia" w:ascii="宋体" w:hAnsi="宋体" w:cs="宋体"/>
                <w:kern w:val="0"/>
                <w:lang w:val="zh-CN" w:bidi="zh-CN"/>
              </w:rPr>
              <w:t>、</w:t>
            </w:r>
            <w:r>
              <w:rPr>
                <w:rFonts w:ascii="宋体" w:hAnsi="宋体" w:cs="宋体"/>
                <w:kern w:val="0"/>
                <w:lang w:val="zh-CN" w:bidi="zh-CN"/>
              </w:rPr>
              <w:t>如有不明确或不一致，构成合同文件组成内容的，以合同文件约定内容为准，且以专用合同条款约定的合同文件优先顺序解释；</w:t>
            </w:r>
          </w:p>
          <w:p>
            <w:pPr>
              <w:tabs>
                <w:tab w:val="left" w:pos="723"/>
              </w:tabs>
              <w:spacing w:before="160"/>
              <w:ind w:left="108" w:right="99"/>
              <w:rPr>
                <w:rFonts w:ascii="宋体" w:hAnsi="宋体" w:cs="宋体"/>
                <w:kern w:val="0"/>
                <w:lang w:val="zh-CN" w:bidi="zh-CN"/>
              </w:rPr>
            </w:pPr>
            <w:r>
              <w:rPr>
                <w:rFonts w:ascii="宋体" w:hAnsi="宋体" w:cs="宋体"/>
                <w:kern w:val="0"/>
                <w:lang w:val="zh-CN" w:bidi="zh-CN"/>
              </w:rPr>
              <w:t>4</w:t>
            </w:r>
            <w:r>
              <w:rPr>
                <w:rFonts w:hint="eastAsia" w:ascii="宋体" w:hAnsi="宋体" w:cs="宋体"/>
                <w:kern w:val="0"/>
                <w:lang w:val="zh-CN" w:bidi="zh-CN"/>
              </w:rPr>
              <w:t>、</w:t>
            </w:r>
            <w:r>
              <w:rPr>
                <w:rFonts w:ascii="宋体" w:hAnsi="宋体" w:cs="宋体"/>
                <w:kern w:val="0"/>
                <w:lang w:val="zh-CN" w:bidi="zh-CN"/>
              </w:rPr>
              <w:t>除磋商文件中有特别规定外，仅适用于磋商及响应文件提交阶段的规定，按磋商公告、供应商须知、评审方法和标准、响应文件格式的先后顺序解释；</w:t>
            </w:r>
          </w:p>
          <w:p>
            <w:pPr>
              <w:tabs>
                <w:tab w:val="left" w:pos="723"/>
              </w:tabs>
              <w:spacing w:before="160"/>
              <w:ind w:left="108" w:right="99"/>
              <w:rPr>
                <w:rFonts w:ascii="宋体" w:hAnsi="宋体" w:cs="宋体"/>
                <w:kern w:val="0"/>
                <w:lang w:val="zh-CN" w:bidi="zh-CN"/>
              </w:rPr>
            </w:pPr>
            <w:r>
              <w:rPr>
                <w:rFonts w:ascii="宋体" w:hAnsi="宋体" w:cs="宋体"/>
                <w:kern w:val="0"/>
                <w:lang w:val="zh-CN" w:bidi="zh-CN"/>
              </w:rPr>
              <w:t>5</w:t>
            </w:r>
            <w:r>
              <w:rPr>
                <w:rFonts w:hint="eastAsia" w:ascii="宋体" w:hAnsi="宋体" w:cs="宋体"/>
                <w:kern w:val="0"/>
                <w:lang w:val="zh-CN" w:bidi="zh-CN"/>
              </w:rPr>
              <w:t>、</w:t>
            </w:r>
            <w:r>
              <w:rPr>
                <w:rFonts w:ascii="宋体" w:hAnsi="宋体" w:cs="宋体"/>
                <w:kern w:val="0"/>
                <w:lang w:val="zh-CN" w:bidi="zh-CN"/>
              </w:rPr>
              <w:t>按本款前述规定仍不能形成结论的，由采购人负责解释。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4" w:type="dxa"/>
            <w:shd w:val="clear" w:color="auto" w:fill="auto"/>
            <w:vAlign w:val="center"/>
          </w:tcPr>
          <w:p>
            <w:pPr>
              <w:pStyle w:val="46"/>
              <w:spacing w:before="19" w:line="360" w:lineRule="auto"/>
              <w:jc w:val="center"/>
              <w:rPr>
                <w:sz w:val="21"/>
                <w:szCs w:val="21"/>
                <w:lang w:val="en-US"/>
              </w:rPr>
            </w:pPr>
            <w:r>
              <w:rPr>
                <w:rFonts w:hint="eastAsia"/>
                <w:sz w:val="21"/>
                <w:szCs w:val="21"/>
                <w:lang w:val="en-US"/>
              </w:rPr>
              <w:t>21</w:t>
            </w:r>
          </w:p>
        </w:tc>
        <w:tc>
          <w:tcPr>
            <w:tcW w:w="2027" w:type="dxa"/>
            <w:shd w:val="clear" w:color="auto" w:fill="auto"/>
            <w:vAlign w:val="center"/>
          </w:tcPr>
          <w:p>
            <w:pPr>
              <w:pStyle w:val="46"/>
              <w:spacing w:before="19" w:line="360" w:lineRule="auto"/>
              <w:ind w:left="107"/>
              <w:jc w:val="both"/>
              <w:rPr>
                <w:sz w:val="21"/>
                <w:szCs w:val="21"/>
                <w:lang w:eastAsia="en-US"/>
              </w:rPr>
            </w:pPr>
            <w:r>
              <w:rPr>
                <w:sz w:val="21"/>
                <w:szCs w:val="21"/>
                <w:lang w:eastAsia="en-US"/>
              </w:rPr>
              <w:t>其他补充说明</w:t>
            </w:r>
          </w:p>
        </w:tc>
        <w:tc>
          <w:tcPr>
            <w:tcW w:w="5471" w:type="dxa"/>
            <w:shd w:val="clear" w:color="auto" w:fill="auto"/>
            <w:vAlign w:val="center"/>
          </w:tcPr>
          <w:p>
            <w:pPr>
              <w:pStyle w:val="46"/>
              <w:spacing w:line="360" w:lineRule="auto"/>
              <w:jc w:val="both"/>
              <w:rPr>
                <w:sz w:val="21"/>
                <w:szCs w:val="21"/>
              </w:rPr>
            </w:pPr>
          </w:p>
        </w:tc>
      </w:tr>
    </w:tbl>
    <w:p>
      <w:pPr>
        <w:widowControl/>
        <w:spacing w:line="360" w:lineRule="auto"/>
        <w:jc w:val="left"/>
        <w:rPr>
          <w:rFonts w:ascii="宋体" w:hAnsi="宋体"/>
        </w:rPr>
      </w:pPr>
    </w:p>
    <w:p>
      <w:pPr>
        <w:pStyle w:val="6"/>
      </w:pPr>
      <w:r>
        <w:t>二、供应商须知正文</w:t>
      </w:r>
    </w:p>
    <w:p>
      <w:pPr>
        <w:pStyle w:val="6"/>
        <w:numPr>
          <w:ilvl w:val="0"/>
          <w:numId w:val="4"/>
        </w:numPr>
      </w:pPr>
      <w:r>
        <w:t>适用范围</w:t>
      </w:r>
    </w:p>
    <w:p>
      <w:pPr>
        <w:pStyle w:val="34"/>
        <w:numPr>
          <w:ilvl w:val="1"/>
          <w:numId w:val="4"/>
        </w:numPr>
        <w:tabs>
          <w:tab w:val="left" w:pos="1090"/>
        </w:tabs>
        <w:spacing w:before="159" w:line="360" w:lineRule="auto"/>
        <w:ind w:right="2275" w:hanging="3"/>
        <w:jc w:val="both"/>
        <w:rPr>
          <w:b/>
          <w:sz w:val="21"/>
          <w:szCs w:val="21"/>
        </w:rPr>
      </w:pPr>
      <w:r>
        <w:rPr>
          <w:spacing w:val="-1"/>
          <w:sz w:val="21"/>
          <w:szCs w:val="21"/>
        </w:rPr>
        <w:t>本磋商文件仅适用于本次磋商所述的服务项目采购。</w:t>
      </w:r>
    </w:p>
    <w:p>
      <w:pPr>
        <w:pStyle w:val="34"/>
        <w:tabs>
          <w:tab w:val="left" w:pos="1090"/>
        </w:tabs>
        <w:spacing w:before="159" w:line="360" w:lineRule="auto"/>
        <w:ind w:left="671" w:right="2275" w:firstLine="0"/>
        <w:jc w:val="center"/>
        <w:rPr>
          <w:b/>
          <w:sz w:val="21"/>
          <w:szCs w:val="21"/>
        </w:rPr>
      </w:pPr>
      <w:r>
        <w:rPr>
          <w:b/>
          <w:sz w:val="21"/>
          <w:szCs w:val="21"/>
        </w:rPr>
        <w:t>2.定义</w:t>
      </w:r>
    </w:p>
    <w:p>
      <w:pPr>
        <w:pStyle w:val="34"/>
        <w:numPr>
          <w:ilvl w:val="1"/>
          <w:numId w:val="5"/>
        </w:numPr>
        <w:tabs>
          <w:tab w:val="left" w:pos="1152"/>
        </w:tabs>
        <w:spacing w:line="360" w:lineRule="auto"/>
        <w:ind w:right="253" w:firstLine="434"/>
        <w:jc w:val="both"/>
        <w:rPr>
          <w:sz w:val="21"/>
          <w:szCs w:val="21"/>
        </w:rPr>
      </w:pPr>
      <w:r>
        <w:rPr>
          <w:spacing w:val="-1"/>
          <w:sz w:val="21"/>
          <w:szCs w:val="21"/>
        </w:rPr>
        <w:t>服务：系指除货物和工程以外的其他采购对象，包括咨询、调研、</w:t>
      </w:r>
      <w:r>
        <w:rPr>
          <w:sz w:val="21"/>
          <w:szCs w:val="21"/>
        </w:rPr>
        <w:t>评估、规划、设计、监理、审计、保险、租赁、印刷、维修、物业管理等。</w:t>
      </w:r>
    </w:p>
    <w:p>
      <w:pPr>
        <w:pStyle w:val="34"/>
        <w:numPr>
          <w:ilvl w:val="1"/>
          <w:numId w:val="5"/>
        </w:numPr>
        <w:tabs>
          <w:tab w:val="left" w:pos="1090"/>
        </w:tabs>
        <w:spacing w:line="360" w:lineRule="auto"/>
        <w:ind w:right="370" w:firstLine="434"/>
        <w:jc w:val="both"/>
        <w:rPr>
          <w:sz w:val="21"/>
          <w:szCs w:val="21"/>
        </w:rPr>
      </w:pPr>
      <w:r>
        <w:rPr>
          <w:spacing w:val="-2"/>
          <w:sz w:val="21"/>
          <w:szCs w:val="21"/>
        </w:rPr>
        <w:t>时限</w:t>
      </w:r>
      <w:r>
        <w:rPr>
          <w:sz w:val="21"/>
          <w:szCs w:val="21"/>
        </w:rPr>
        <w:t>（</w:t>
      </w:r>
      <w:r>
        <w:rPr>
          <w:spacing w:val="-2"/>
          <w:sz w:val="21"/>
          <w:szCs w:val="21"/>
        </w:rPr>
        <w:t>年份、月份等</w:t>
      </w:r>
      <w:r>
        <w:rPr>
          <w:spacing w:val="-3"/>
          <w:sz w:val="21"/>
          <w:szCs w:val="21"/>
        </w:rPr>
        <w:t>）</w:t>
      </w:r>
      <w:r>
        <w:rPr>
          <w:spacing w:val="-6"/>
          <w:sz w:val="21"/>
          <w:szCs w:val="21"/>
        </w:rPr>
        <w:t xml:space="preserve">计算：系指从磋商之日向前追溯 </w:t>
      </w:r>
      <w:r>
        <w:rPr>
          <w:sz w:val="21"/>
          <w:szCs w:val="21"/>
        </w:rPr>
        <w:t>X</w:t>
      </w:r>
      <w:r>
        <w:rPr>
          <w:spacing w:val="-30"/>
          <w:sz w:val="21"/>
          <w:szCs w:val="21"/>
        </w:rPr>
        <w:t xml:space="preserve"> 年</w:t>
      </w:r>
      <w:r>
        <w:rPr>
          <w:sz w:val="21"/>
          <w:szCs w:val="21"/>
        </w:rPr>
        <w:t>/</w:t>
      </w:r>
      <w:r>
        <w:rPr>
          <w:spacing w:val="-3"/>
          <w:sz w:val="21"/>
          <w:szCs w:val="21"/>
        </w:rPr>
        <w:t xml:space="preserve">月（“X” </w:t>
      </w:r>
      <w:r>
        <w:rPr>
          <w:sz w:val="21"/>
          <w:szCs w:val="21"/>
        </w:rPr>
        <w:t>为“一”及以后整数）起算。</w:t>
      </w:r>
    </w:p>
    <w:p>
      <w:pPr>
        <w:pStyle w:val="34"/>
        <w:numPr>
          <w:ilvl w:val="1"/>
          <w:numId w:val="5"/>
        </w:numPr>
        <w:tabs>
          <w:tab w:val="left" w:pos="1090"/>
        </w:tabs>
        <w:spacing w:line="360" w:lineRule="auto"/>
        <w:ind w:right="368" w:firstLine="434"/>
        <w:jc w:val="both"/>
        <w:rPr>
          <w:sz w:val="21"/>
          <w:szCs w:val="21"/>
        </w:rPr>
      </w:pPr>
      <w:r>
        <w:rPr>
          <w:spacing w:val="-5"/>
          <w:sz w:val="21"/>
          <w:szCs w:val="21"/>
        </w:rPr>
        <w:t>业绩：除非本磋商文件中另有规定，业绩系指符合本磋商文件规定的与</w:t>
      </w:r>
      <w:r>
        <w:rPr>
          <w:sz w:val="21"/>
          <w:szCs w:val="21"/>
        </w:rPr>
        <w:t>最终用户签订的合同。供应商与其关联公司（如母公司、控股公司、分公司、子公司、同一法定代表人的公司等）之间签订的合同，均不予认可。</w:t>
      </w:r>
    </w:p>
    <w:p>
      <w:pPr>
        <w:pStyle w:val="2"/>
        <w:spacing w:line="360" w:lineRule="auto"/>
        <w:ind w:left="234" w:right="296" w:firstLine="434"/>
        <w:rPr>
          <w:sz w:val="21"/>
          <w:szCs w:val="21"/>
        </w:rPr>
      </w:pPr>
      <w:r>
        <w:rPr>
          <w:sz w:val="21"/>
          <w:szCs w:val="21"/>
        </w:rPr>
        <w:t>除非本磋商文件中另有规定，否则业绩均为已服务完毕的业绩，业绩时间均以合同签订之日为追溯节点。</w:t>
      </w:r>
    </w:p>
    <w:p>
      <w:pPr>
        <w:pStyle w:val="6"/>
        <w:numPr>
          <w:ilvl w:val="0"/>
          <w:numId w:val="6"/>
        </w:numPr>
      </w:pPr>
      <w:r>
        <w:t>采购人、采购代理机构及供应商</w:t>
      </w:r>
    </w:p>
    <w:p>
      <w:pPr>
        <w:pStyle w:val="34"/>
        <w:numPr>
          <w:ilvl w:val="1"/>
          <w:numId w:val="6"/>
        </w:numPr>
        <w:tabs>
          <w:tab w:val="left" w:pos="1090"/>
        </w:tabs>
        <w:spacing w:before="156" w:line="360" w:lineRule="auto"/>
        <w:ind w:right="370" w:firstLine="434"/>
        <w:jc w:val="both"/>
        <w:rPr>
          <w:sz w:val="21"/>
          <w:szCs w:val="21"/>
        </w:rPr>
      </w:pPr>
      <w:r>
        <w:rPr>
          <w:spacing w:val="-17"/>
          <w:sz w:val="21"/>
          <w:szCs w:val="21"/>
        </w:rPr>
        <w:t>采购人：是指依法开展采购活动的国家机关、事业单位、团体组织。</w:t>
      </w:r>
      <w:r>
        <w:rPr>
          <w:sz w:val="21"/>
          <w:szCs w:val="21"/>
        </w:rPr>
        <w:t>本项目的采购人见</w:t>
      </w:r>
      <w:r>
        <w:rPr>
          <w:sz w:val="21"/>
          <w:szCs w:val="21"/>
          <w:u w:val="single"/>
        </w:rPr>
        <w:t>供应商须知前附表</w:t>
      </w:r>
      <w:r>
        <w:rPr>
          <w:sz w:val="21"/>
          <w:szCs w:val="21"/>
        </w:rPr>
        <w:t>。</w:t>
      </w:r>
    </w:p>
    <w:p>
      <w:pPr>
        <w:pStyle w:val="34"/>
        <w:numPr>
          <w:ilvl w:val="1"/>
          <w:numId w:val="6"/>
        </w:numPr>
        <w:tabs>
          <w:tab w:val="left" w:pos="1073"/>
        </w:tabs>
        <w:spacing w:before="5" w:line="360" w:lineRule="auto"/>
        <w:ind w:right="253" w:firstLine="434"/>
        <w:jc w:val="both"/>
        <w:rPr>
          <w:sz w:val="21"/>
          <w:szCs w:val="21"/>
        </w:rPr>
      </w:pPr>
      <w:r>
        <w:rPr>
          <w:spacing w:val="-13"/>
          <w:sz w:val="21"/>
          <w:szCs w:val="21"/>
        </w:rPr>
        <w:t>采购代理机构：是指从事采购代理业务的社会中介机构。</w:t>
      </w:r>
      <w:r>
        <w:rPr>
          <w:sz w:val="21"/>
          <w:szCs w:val="21"/>
        </w:rPr>
        <w:t>本项目的采购代理机构见</w:t>
      </w:r>
      <w:r>
        <w:rPr>
          <w:sz w:val="21"/>
          <w:szCs w:val="21"/>
          <w:u w:val="single"/>
        </w:rPr>
        <w:t>供应商须知前附表</w:t>
      </w:r>
      <w:r>
        <w:rPr>
          <w:sz w:val="21"/>
          <w:szCs w:val="21"/>
        </w:rPr>
        <w:t>。</w:t>
      </w:r>
    </w:p>
    <w:p>
      <w:pPr>
        <w:pStyle w:val="34"/>
        <w:numPr>
          <w:ilvl w:val="1"/>
          <w:numId w:val="6"/>
        </w:numPr>
        <w:tabs>
          <w:tab w:val="left" w:pos="1090"/>
        </w:tabs>
        <w:spacing w:line="360" w:lineRule="auto"/>
        <w:ind w:right="369" w:firstLine="434"/>
        <w:jc w:val="both"/>
        <w:rPr>
          <w:sz w:val="21"/>
          <w:szCs w:val="21"/>
        </w:rPr>
      </w:pPr>
      <w:r>
        <w:rPr>
          <w:spacing w:val="-5"/>
          <w:sz w:val="21"/>
          <w:szCs w:val="21"/>
        </w:rPr>
        <w:t>供应商：是指向采购人提供货物、工程或者服务的法人、非法人组织或</w:t>
      </w:r>
      <w:r>
        <w:rPr>
          <w:spacing w:val="-10"/>
          <w:sz w:val="21"/>
          <w:szCs w:val="21"/>
        </w:rPr>
        <w:t>者自然人。分支机构不得参加</w:t>
      </w:r>
      <w:r>
        <w:rPr>
          <w:rFonts w:hint="eastAsia"/>
          <w:spacing w:val="-10"/>
          <w:sz w:val="21"/>
          <w:szCs w:val="21"/>
        </w:rPr>
        <w:t>采购</w:t>
      </w:r>
      <w:r>
        <w:rPr>
          <w:spacing w:val="-10"/>
          <w:sz w:val="21"/>
          <w:szCs w:val="21"/>
        </w:rPr>
        <w:t>活动，但银行、保险、石油石化、电力、</w:t>
      </w:r>
      <w:r>
        <w:rPr>
          <w:sz w:val="21"/>
          <w:szCs w:val="21"/>
        </w:rPr>
        <w:t>电信等特殊行业除外。本项目的供应商须满足以下条件：</w:t>
      </w:r>
    </w:p>
    <w:p>
      <w:pPr>
        <w:pStyle w:val="34"/>
        <w:numPr>
          <w:ilvl w:val="2"/>
          <w:numId w:val="6"/>
        </w:numPr>
        <w:tabs>
          <w:tab w:val="left" w:pos="1330"/>
        </w:tabs>
        <w:spacing w:line="360" w:lineRule="auto"/>
        <w:ind w:right="369" w:firstLine="434"/>
        <w:jc w:val="both"/>
        <w:rPr>
          <w:sz w:val="21"/>
          <w:szCs w:val="21"/>
        </w:rPr>
      </w:pPr>
      <w:r>
        <w:rPr>
          <w:spacing w:val="-3"/>
          <w:sz w:val="21"/>
          <w:szCs w:val="21"/>
        </w:rPr>
        <w:t>在中华人民共和国境内注册，能够独立承担民事责任，有生产或供应</w:t>
      </w:r>
      <w:r>
        <w:rPr>
          <w:sz w:val="21"/>
          <w:szCs w:val="21"/>
        </w:rPr>
        <w:t>能力的本国供应商。</w:t>
      </w:r>
    </w:p>
    <w:p>
      <w:pPr>
        <w:pStyle w:val="34"/>
        <w:numPr>
          <w:ilvl w:val="2"/>
          <w:numId w:val="6"/>
        </w:numPr>
        <w:tabs>
          <w:tab w:val="left" w:pos="1330"/>
        </w:tabs>
        <w:spacing w:line="360" w:lineRule="auto"/>
        <w:ind w:left="1329" w:hanging="661"/>
        <w:jc w:val="both"/>
        <w:rPr>
          <w:sz w:val="21"/>
          <w:szCs w:val="21"/>
        </w:rPr>
      </w:pPr>
      <w:r>
        <w:rPr>
          <w:sz w:val="21"/>
          <w:szCs w:val="21"/>
        </w:rPr>
        <w:t>以采购代理机构认可的方式获得了本项目的磋商文件。</w:t>
      </w:r>
    </w:p>
    <w:p>
      <w:pPr>
        <w:pStyle w:val="34"/>
        <w:numPr>
          <w:ilvl w:val="1"/>
          <w:numId w:val="6"/>
        </w:numPr>
        <w:tabs>
          <w:tab w:val="left" w:pos="1090"/>
        </w:tabs>
        <w:spacing w:before="160" w:line="360" w:lineRule="auto"/>
        <w:ind w:right="245" w:firstLine="434"/>
        <w:jc w:val="both"/>
        <w:rPr>
          <w:sz w:val="21"/>
          <w:szCs w:val="21"/>
        </w:rPr>
      </w:pPr>
      <w:r>
        <w:rPr>
          <w:spacing w:val="-2"/>
          <w:sz w:val="21"/>
          <w:szCs w:val="21"/>
        </w:rPr>
        <w:t>单位负责人为同一人或者存在直接控股、管理关系的不同供应商，不得</w:t>
      </w:r>
      <w:r>
        <w:rPr>
          <w:spacing w:val="-3"/>
          <w:sz w:val="21"/>
          <w:szCs w:val="21"/>
        </w:rPr>
        <w:t>参加同一合同项下的采购活动。否则其相关响应文件将被认定为</w:t>
      </w:r>
      <w:r>
        <w:rPr>
          <w:b/>
          <w:sz w:val="21"/>
          <w:szCs w:val="21"/>
        </w:rPr>
        <w:t>响应无效</w:t>
      </w:r>
      <w:r>
        <w:rPr>
          <w:spacing w:val="-14"/>
          <w:sz w:val="21"/>
          <w:szCs w:val="21"/>
        </w:rPr>
        <w:t>。</w:t>
      </w:r>
    </w:p>
    <w:p>
      <w:pPr>
        <w:pStyle w:val="34"/>
        <w:numPr>
          <w:ilvl w:val="1"/>
          <w:numId w:val="6"/>
        </w:numPr>
        <w:tabs>
          <w:tab w:val="left" w:pos="1090"/>
        </w:tabs>
        <w:spacing w:before="5" w:line="360" w:lineRule="auto"/>
        <w:ind w:right="360" w:firstLine="434"/>
        <w:jc w:val="both"/>
        <w:rPr>
          <w:sz w:val="21"/>
          <w:szCs w:val="21"/>
        </w:rPr>
      </w:pPr>
      <w:r>
        <w:rPr>
          <w:spacing w:val="-3"/>
          <w:sz w:val="21"/>
          <w:szCs w:val="21"/>
        </w:rPr>
        <w:t>为本项目提供过整体设计、规范编制或者项目管理、监理、检测等服务</w:t>
      </w:r>
      <w:r>
        <w:rPr>
          <w:sz w:val="21"/>
          <w:szCs w:val="21"/>
        </w:rPr>
        <w:t>的供应商，不得再参加本项目上述服务以外的其他采购活动。否则其响应文件将被认定为</w:t>
      </w:r>
      <w:r>
        <w:rPr>
          <w:b/>
          <w:sz w:val="21"/>
          <w:szCs w:val="21"/>
        </w:rPr>
        <w:t>响应无效</w:t>
      </w:r>
      <w:r>
        <w:rPr>
          <w:sz w:val="21"/>
          <w:szCs w:val="21"/>
        </w:rPr>
        <w:t>。</w:t>
      </w:r>
    </w:p>
    <w:p>
      <w:pPr>
        <w:pStyle w:val="6"/>
        <w:numPr>
          <w:ilvl w:val="0"/>
          <w:numId w:val="6"/>
        </w:numPr>
      </w:pPr>
      <w:r>
        <w:t>资金来源</w:t>
      </w:r>
    </w:p>
    <w:p>
      <w:pPr>
        <w:pStyle w:val="34"/>
        <w:numPr>
          <w:ilvl w:val="1"/>
          <w:numId w:val="6"/>
        </w:numPr>
        <w:tabs>
          <w:tab w:val="left" w:pos="1097"/>
        </w:tabs>
        <w:spacing w:before="161" w:line="360" w:lineRule="auto"/>
        <w:ind w:left="1096" w:hanging="428"/>
        <w:rPr>
          <w:sz w:val="21"/>
          <w:szCs w:val="21"/>
        </w:rPr>
      </w:pPr>
      <w:r>
        <w:rPr>
          <w:sz w:val="21"/>
          <w:szCs w:val="21"/>
        </w:rPr>
        <w:t>本项目的采购人已获得足以支付本次磋商后所签订的合同项下的资金。</w:t>
      </w:r>
    </w:p>
    <w:p>
      <w:pPr>
        <w:pStyle w:val="34"/>
        <w:tabs>
          <w:tab w:val="left" w:pos="1090"/>
        </w:tabs>
        <w:spacing w:before="158" w:line="360" w:lineRule="auto"/>
        <w:ind w:left="671" w:right="714" w:firstLine="0"/>
        <w:rPr>
          <w:b/>
          <w:sz w:val="21"/>
          <w:szCs w:val="21"/>
        </w:rPr>
      </w:pPr>
      <w:r>
        <w:rPr>
          <w:rFonts w:hint="eastAsia"/>
          <w:sz w:val="21"/>
          <w:szCs w:val="21"/>
        </w:rPr>
        <w:t xml:space="preserve">4.2 </w:t>
      </w:r>
      <w:r>
        <w:rPr>
          <w:sz w:val="21"/>
          <w:szCs w:val="21"/>
        </w:rPr>
        <w:t>项目预算金额或分项（或分包）预算金额见磋商公告（磋商邀请）。</w:t>
      </w:r>
    </w:p>
    <w:p>
      <w:pPr>
        <w:pStyle w:val="6"/>
        <w:numPr>
          <w:ilvl w:val="0"/>
          <w:numId w:val="6"/>
        </w:numPr>
      </w:pPr>
      <w:r>
        <w:t>磋商费用</w:t>
      </w:r>
    </w:p>
    <w:p>
      <w:pPr>
        <w:pStyle w:val="2"/>
        <w:spacing w:before="1" w:line="360" w:lineRule="auto"/>
        <w:ind w:left="671" w:right="256"/>
        <w:rPr>
          <w:sz w:val="21"/>
          <w:szCs w:val="21"/>
        </w:rPr>
      </w:pPr>
      <w:r>
        <w:rPr>
          <w:sz w:val="21"/>
          <w:szCs w:val="21"/>
        </w:rPr>
        <w:t>不论磋商的结果如何，供应商应承担其所有与准备和参加磋商有关的费用。</w:t>
      </w:r>
    </w:p>
    <w:p>
      <w:pPr>
        <w:pStyle w:val="6"/>
        <w:numPr>
          <w:ilvl w:val="0"/>
          <w:numId w:val="6"/>
        </w:numPr>
        <w:rPr>
          <w:lang w:val="zh-CN"/>
        </w:rPr>
      </w:pPr>
      <w:r>
        <w:rPr>
          <w:lang w:val="zh-CN"/>
        </w:rPr>
        <w:t>磋商文件构成</w:t>
      </w:r>
    </w:p>
    <w:p>
      <w:pPr>
        <w:pStyle w:val="34"/>
        <w:numPr>
          <w:ilvl w:val="1"/>
          <w:numId w:val="6"/>
        </w:numPr>
        <w:tabs>
          <w:tab w:val="left" w:pos="1097"/>
        </w:tabs>
        <w:spacing w:before="161" w:line="360" w:lineRule="auto"/>
        <w:ind w:left="1096" w:hanging="428"/>
        <w:rPr>
          <w:sz w:val="21"/>
          <w:szCs w:val="21"/>
        </w:rPr>
      </w:pPr>
      <w:r>
        <w:rPr>
          <w:sz w:val="21"/>
          <w:szCs w:val="21"/>
        </w:rPr>
        <w:t>磋商文件包括下列内容：</w:t>
      </w:r>
    </w:p>
    <w:p>
      <w:pPr>
        <w:pStyle w:val="2"/>
        <w:tabs>
          <w:tab w:val="left" w:pos="2034"/>
        </w:tabs>
        <w:spacing w:before="120" w:line="360" w:lineRule="auto"/>
        <w:ind w:left="1072"/>
        <w:rPr>
          <w:sz w:val="21"/>
          <w:szCs w:val="21"/>
        </w:rPr>
      </w:pPr>
      <w:r>
        <w:rPr>
          <w:sz w:val="21"/>
          <w:szCs w:val="21"/>
        </w:rPr>
        <w:t>第一章</w:t>
      </w:r>
      <w:r>
        <w:rPr>
          <w:sz w:val="21"/>
          <w:szCs w:val="21"/>
        </w:rPr>
        <w:tab/>
      </w:r>
      <w:r>
        <w:rPr>
          <w:rFonts w:hint="eastAsia"/>
          <w:sz w:val="21"/>
          <w:szCs w:val="21"/>
        </w:rPr>
        <w:t>竞争性磋商公告</w:t>
      </w:r>
    </w:p>
    <w:p>
      <w:pPr>
        <w:pStyle w:val="2"/>
        <w:tabs>
          <w:tab w:val="left" w:pos="2034"/>
        </w:tabs>
        <w:spacing w:before="161" w:line="360" w:lineRule="auto"/>
        <w:ind w:left="1074" w:right="4449"/>
        <w:rPr>
          <w:sz w:val="21"/>
          <w:szCs w:val="21"/>
        </w:rPr>
      </w:pPr>
      <w:r>
        <w:rPr>
          <w:sz w:val="21"/>
          <w:szCs w:val="21"/>
        </w:rPr>
        <w:t>第二章</w:t>
      </w:r>
      <w:r>
        <w:rPr>
          <w:sz w:val="21"/>
          <w:szCs w:val="21"/>
        </w:rPr>
        <w:tab/>
      </w:r>
      <w:r>
        <w:rPr>
          <w:sz w:val="21"/>
          <w:szCs w:val="21"/>
        </w:rPr>
        <w:t>供应商须知</w:t>
      </w:r>
    </w:p>
    <w:p>
      <w:pPr>
        <w:pStyle w:val="2"/>
        <w:tabs>
          <w:tab w:val="left" w:pos="2034"/>
        </w:tabs>
        <w:spacing w:before="5" w:line="360" w:lineRule="auto"/>
        <w:ind w:left="1074"/>
        <w:rPr>
          <w:sz w:val="21"/>
          <w:szCs w:val="21"/>
        </w:rPr>
      </w:pPr>
      <w:r>
        <w:rPr>
          <w:sz w:val="21"/>
          <w:szCs w:val="21"/>
        </w:rPr>
        <w:t>第三章</w:t>
      </w:r>
      <w:r>
        <w:rPr>
          <w:sz w:val="21"/>
          <w:szCs w:val="21"/>
        </w:rPr>
        <w:tab/>
      </w:r>
      <w:r>
        <w:rPr>
          <w:sz w:val="21"/>
          <w:szCs w:val="21"/>
        </w:rPr>
        <w:t>采购需求</w:t>
      </w:r>
    </w:p>
    <w:p>
      <w:pPr>
        <w:pStyle w:val="2"/>
        <w:tabs>
          <w:tab w:val="left" w:pos="2034"/>
        </w:tabs>
        <w:spacing w:before="158" w:line="360" w:lineRule="auto"/>
        <w:ind w:left="1074" w:right="5169"/>
        <w:rPr>
          <w:spacing w:val="-17"/>
          <w:sz w:val="21"/>
          <w:szCs w:val="21"/>
        </w:rPr>
      </w:pPr>
      <w:r>
        <w:rPr>
          <w:sz w:val="21"/>
          <w:szCs w:val="21"/>
        </w:rPr>
        <w:t>第四章</w:t>
      </w:r>
      <w:r>
        <w:rPr>
          <w:sz w:val="21"/>
          <w:szCs w:val="21"/>
        </w:rPr>
        <w:tab/>
      </w:r>
      <w:r>
        <w:rPr>
          <w:sz w:val="21"/>
          <w:szCs w:val="21"/>
        </w:rPr>
        <w:t>评审方法和标</w:t>
      </w:r>
      <w:r>
        <w:rPr>
          <w:spacing w:val="-17"/>
          <w:sz w:val="21"/>
          <w:szCs w:val="21"/>
        </w:rPr>
        <w:t>准</w:t>
      </w:r>
    </w:p>
    <w:p>
      <w:pPr>
        <w:pStyle w:val="2"/>
        <w:tabs>
          <w:tab w:val="left" w:pos="2034"/>
        </w:tabs>
        <w:spacing w:before="158" w:line="360" w:lineRule="auto"/>
        <w:ind w:left="1074" w:right="5169"/>
        <w:rPr>
          <w:sz w:val="21"/>
          <w:szCs w:val="21"/>
        </w:rPr>
      </w:pPr>
      <w:r>
        <w:rPr>
          <w:sz w:val="21"/>
          <w:szCs w:val="21"/>
        </w:rPr>
        <w:t>第五章</w:t>
      </w:r>
      <w:r>
        <w:rPr>
          <w:sz w:val="21"/>
          <w:szCs w:val="21"/>
        </w:rPr>
        <w:tab/>
      </w:r>
      <w:r>
        <w:rPr>
          <w:rFonts w:hint="eastAsia"/>
          <w:sz w:val="21"/>
          <w:szCs w:val="21"/>
        </w:rPr>
        <w:t>采购</w:t>
      </w:r>
      <w:r>
        <w:rPr>
          <w:sz w:val="21"/>
          <w:szCs w:val="21"/>
        </w:rPr>
        <w:t>合同</w:t>
      </w:r>
    </w:p>
    <w:p>
      <w:pPr>
        <w:pStyle w:val="2"/>
        <w:tabs>
          <w:tab w:val="left" w:pos="2034"/>
        </w:tabs>
        <w:spacing w:before="158" w:line="360" w:lineRule="auto"/>
        <w:ind w:left="1074" w:right="5169"/>
        <w:rPr>
          <w:sz w:val="21"/>
          <w:szCs w:val="21"/>
        </w:rPr>
      </w:pPr>
      <w:r>
        <w:rPr>
          <w:sz w:val="21"/>
          <w:szCs w:val="21"/>
        </w:rPr>
        <w:t xml:space="preserve"> 第六章</w:t>
      </w:r>
      <w:r>
        <w:rPr>
          <w:sz w:val="21"/>
          <w:szCs w:val="21"/>
        </w:rPr>
        <w:tab/>
      </w:r>
      <w:r>
        <w:rPr>
          <w:sz w:val="21"/>
          <w:szCs w:val="21"/>
        </w:rPr>
        <w:t>响应文件格式</w:t>
      </w:r>
    </w:p>
    <w:p>
      <w:pPr>
        <w:pStyle w:val="34"/>
        <w:numPr>
          <w:ilvl w:val="1"/>
          <w:numId w:val="6"/>
        </w:numPr>
        <w:tabs>
          <w:tab w:val="left" w:pos="1097"/>
        </w:tabs>
        <w:spacing w:before="161" w:line="360" w:lineRule="auto"/>
        <w:ind w:left="1096" w:hanging="428"/>
        <w:rPr>
          <w:sz w:val="21"/>
          <w:szCs w:val="21"/>
        </w:rPr>
      </w:pPr>
      <w:r>
        <w:rPr>
          <w:sz w:val="21"/>
          <w:szCs w:val="21"/>
        </w:rPr>
        <w:t>磋商文件中有不一致的，有澄清的部分以最终的澄清更正内容为准。</w:t>
      </w:r>
    </w:p>
    <w:p>
      <w:pPr>
        <w:pStyle w:val="34"/>
        <w:numPr>
          <w:ilvl w:val="1"/>
          <w:numId w:val="6"/>
        </w:numPr>
        <w:tabs>
          <w:tab w:val="left" w:pos="1097"/>
        </w:tabs>
        <w:spacing w:before="161" w:line="360" w:lineRule="auto"/>
        <w:ind w:left="1096" w:hanging="428"/>
        <w:rPr>
          <w:sz w:val="21"/>
          <w:szCs w:val="21"/>
        </w:rPr>
      </w:pPr>
      <w:r>
        <w:rPr>
          <w:sz w:val="21"/>
          <w:szCs w:val="21"/>
          <w:lang w:val="en-US"/>
        </w:rPr>
        <mc:AlternateContent>
          <mc:Choice Requires="wps">
            <w:drawing>
              <wp:anchor distT="0" distB="0" distL="114300" distR="114300" simplePos="0" relativeHeight="251659264" behindDoc="0" locked="0" layoutInCell="1" allowOverlap="1">
                <wp:simplePos x="0" y="0"/>
                <wp:positionH relativeFrom="page">
                  <wp:posOffset>3219450</wp:posOffset>
                </wp:positionH>
                <wp:positionV relativeFrom="paragraph">
                  <wp:posOffset>278765</wp:posOffset>
                </wp:positionV>
                <wp:extent cx="1219200"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7620">
                          <a:solidFill>
                            <a:srgbClr val="000000"/>
                          </a:solidFill>
                          <a:prstDash val="solid"/>
                          <a:round/>
                        </a:ln>
                      </wps:spPr>
                      <wps:bodyPr/>
                    </wps:wsp>
                  </a:graphicData>
                </a:graphic>
              </wp:anchor>
            </w:drawing>
          </mc:Choice>
          <mc:Fallback>
            <w:pict>
              <v:line id="_x0000_s1026" o:spid="_x0000_s1026" o:spt="20" style="position:absolute;left:0pt;margin-left:253.5pt;margin-top:21.95pt;height:0pt;width:96pt;mso-position-horizontal-relative:page;z-index:251659264;mso-width-relative:page;mso-height-relative:page;" filled="f" stroked="t" coordsize="21600,21600" o:gfxdata="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0&#10;kBxf1wAAAAkBAAAPAAAAAAAAAAEAIAAAACIAAABkcnMvZG93bnJldi54bWxQSwECFAAUAAAACACH&#10;TuJA6JwGWewBAADDAwAADgAAAAAAAAABACAAAAAmAQAAZHJzL2Uyb0RvYy54bWxQSwUGAAAAAAYA&#10;BgBZAQAAhAUAAAAA&#10;">
                <v:fill on="f" focussize="0,0"/>
                <v:stroke weight="0.6pt" color="#000000" joinstyle="round"/>
                <v:imagedata o:title=""/>
                <o:lock v:ext="edit" aspectratio="f"/>
              </v:line>
            </w:pict>
          </mc:Fallback>
        </mc:AlternateContent>
      </w:r>
      <w:r>
        <w:rPr>
          <w:sz w:val="21"/>
          <w:szCs w:val="21"/>
        </w:rPr>
        <w:t>现场考察及相关事项见供应商须知前附表。</w:t>
      </w:r>
    </w:p>
    <w:p>
      <w:pPr>
        <w:pStyle w:val="34"/>
        <w:numPr>
          <w:ilvl w:val="1"/>
          <w:numId w:val="6"/>
        </w:numPr>
        <w:tabs>
          <w:tab w:val="left" w:pos="1097"/>
        </w:tabs>
        <w:spacing w:before="161" w:line="360" w:lineRule="auto"/>
        <w:ind w:left="1096" w:hanging="428"/>
        <w:rPr>
          <w:sz w:val="21"/>
          <w:szCs w:val="21"/>
        </w:rPr>
      </w:pPr>
      <w:r>
        <w:rPr>
          <w:sz w:val="21"/>
          <w:szCs w:val="21"/>
        </w:rPr>
        <w:t>供应商应认真阅读磋商文件所有的事项、格式、条款和技术规范等。</w:t>
      </w:r>
    </w:p>
    <w:p>
      <w:pPr>
        <w:pStyle w:val="6"/>
        <w:numPr>
          <w:ilvl w:val="0"/>
          <w:numId w:val="6"/>
        </w:numPr>
        <w:rPr>
          <w:lang w:val="zh-CN"/>
        </w:rPr>
      </w:pPr>
      <w:r>
        <w:rPr>
          <w:lang w:val="zh-CN"/>
        </w:rPr>
        <w:t>磋商文件的澄清与修改</w:t>
      </w:r>
    </w:p>
    <w:p>
      <w:pPr>
        <w:pStyle w:val="34"/>
        <w:numPr>
          <w:ilvl w:val="1"/>
          <w:numId w:val="6"/>
        </w:numPr>
        <w:tabs>
          <w:tab w:val="left" w:pos="1097"/>
        </w:tabs>
        <w:spacing w:before="161" w:line="360" w:lineRule="auto"/>
        <w:ind w:left="1096" w:hanging="428"/>
        <w:rPr>
          <w:sz w:val="21"/>
          <w:szCs w:val="21"/>
        </w:rPr>
      </w:pPr>
      <w:r>
        <w:rPr>
          <w:rFonts w:hint="eastAsia"/>
          <w:sz w:val="21"/>
          <w:szCs w:val="21"/>
        </w:rPr>
        <w:t>供应商质疑截止时间：见供应商须知前附表</w:t>
      </w:r>
      <w:r>
        <w:rPr>
          <w:sz w:val="21"/>
          <w:szCs w:val="21"/>
        </w:rPr>
        <w:t>。</w:t>
      </w:r>
    </w:p>
    <w:p>
      <w:pPr>
        <w:pStyle w:val="6"/>
        <w:numPr>
          <w:ilvl w:val="0"/>
          <w:numId w:val="6"/>
        </w:numPr>
        <w:rPr>
          <w:lang w:val="zh-CN"/>
        </w:rPr>
      </w:pPr>
      <w:r>
        <w:rPr>
          <w:lang w:val="zh-CN"/>
        </w:rPr>
        <w:t>磋商范围及响应文件中标准和计量单位的使用</w:t>
      </w:r>
    </w:p>
    <w:p>
      <w:pPr>
        <w:pStyle w:val="34"/>
        <w:numPr>
          <w:ilvl w:val="1"/>
          <w:numId w:val="6"/>
        </w:numPr>
        <w:tabs>
          <w:tab w:val="left" w:pos="1097"/>
        </w:tabs>
        <w:spacing w:before="161" w:line="360" w:lineRule="auto"/>
        <w:ind w:left="1096" w:hanging="428"/>
        <w:rPr>
          <w:sz w:val="21"/>
          <w:szCs w:val="21"/>
        </w:rPr>
      </w:pPr>
      <w:r>
        <w:rPr>
          <w:rFonts w:hint="eastAsia"/>
          <w:sz w:val="21"/>
          <w:szCs w:val="21"/>
        </w:rPr>
        <w:t>项目有分包的，供应商可参与其中某一个或多个分包的磋商，成交包数详见供应商须知前附表中规定。</w:t>
      </w:r>
    </w:p>
    <w:p>
      <w:pPr>
        <w:pStyle w:val="34"/>
        <w:numPr>
          <w:ilvl w:val="1"/>
          <w:numId w:val="6"/>
        </w:numPr>
        <w:tabs>
          <w:tab w:val="left" w:pos="1097"/>
        </w:tabs>
        <w:spacing w:before="161" w:line="360" w:lineRule="auto"/>
        <w:ind w:left="1096" w:hanging="428"/>
        <w:rPr>
          <w:sz w:val="21"/>
          <w:szCs w:val="21"/>
        </w:rPr>
      </w:pPr>
      <w:r>
        <w:rPr>
          <w:rFonts w:hint="eastAsia"/>
          <w:sz w:val="21"/>
          <w:szCs w:val="21"/>
        </w:rPr>
        <w:t>无论磋商文件中是否要求，供应商所投服务及伴随的货物和工程均应符合国家强制性标准。</w:t>
      </w:r>
    </w:p>
    <w:p>
      <w:pPr>
        <w:pStyle w:val="34"/>
        <w:numPr>
          <w:ilvl w:val="1"/>
          <w:numId w:val="6"/>
        </w:numPr>
        <w:tabs>
          <w:tab w:val="left" w:pos="1097"/>
        </w:tabs>
        <w:spacing w:before="161" w:line="360" w:lineRule="auto"/>
        <w:ind w:left="1096" w:hanging="428"/>
        <w:rPr>
          <w:sz w:val="21"/>
          <w:szCs w:val="21"/>
        </w:rPr>
      </w:pPr>
      <w:r>
        <w:rPr>
          <w:rFonts w:hint="eastAsia"/>
          <w:sz w:val="21"/>
          <w:szCs w:val="21"/>
        </w:rPr>
        <w:t>供应商与采购代理机构之间与磋商有关的所有往来通知、函件和响应文件均用中文表述。供应商随响应文件提供的证明文件和资料可以为其它语言， 但必须附中文译文。翻译的中文资料与外文资料如果出现差异时，以中文为准。</w:t>
      </w:r>
    </w:p>
    <w:p>
      <w:pPr>
        <w:pStyle w:val="34"/>
        <w:numPr>
          <w:ilvl w:val="1"/>
          <w:numId w:val="6"/>
        </w:numPr>
        <w:tabs>
          <w:tab w:val="left" w:pos="1097"/>
        </w:tabs>
        <w:spacing w:before="161" w:line="360" w:lineRule="auto"/>
        <w:ind w:left="1096" w:hanging="428"/>
        <w:rPr>
          <w:sz w:val="21"/>
          <w:szCs w:val="21"/>
        </w:rPr>
      </w:pPr>
      <w:r>
        <w:rPr>
          <w:rFonts w:hint="eastAsia"/>
          <w:sz w:val="21"/>
          <w:szCs w:val="21"/>
        </w:rPr>
        <w:t>除磋商文件中有特殊要求外，响应文件中所使用的计量单位，应采用中华人民共和国法定计量单位。</w:t>
      </w:r>
    </w:p>
    <w:p>
      <w:pPr>
        <w:pStyle w:val="6"/>
        <w:numPr>
          <w:ilvl w:val="0"/>
          <w:numId w:val="7"/>
        </w:numPr>
      </w:pPr>
      <w:r>
        <w:t>响应文件构成</w:t>
      </w:r>
    </w:p>
    <w:p>
      <w:pPr>
        <w:pStyle w:val="34"/>
        <w:numPr>
          <w:ilvl w:val="1"/>
          <w:numId w:val="7"/>
        </w:numPr>
        <w:tabs>
          <w:tab w:val="left" w:pos="1195"/>
        </w:tabs>
        <w:spacing w:before="159" w:line="360" w:lineRule="auto"/>
        <w:ind w:right="249" w:firstLine="436"/>
        <w:rPr>
          <w:sz w:val="21"/>
          <w:szCs w:val="21"/>
        </w:rPr>
      </w:pPr>
      <w:r>
        <w:rPr>
          <w:spacing w:val="-1"/>
          <w:sz w:val="21"/>
          <w:szCs w:val="21"/>
        </w:rPr>
        <w:t xml:space="preserve">供应商应完整地按磋商文件提供的响应文件格式及要求编写响应文件， </w:t>
      </w:r>
      <w:r>
        <w:rPr>
          <w:sz w:val="21"/>
          <w:szCs w:val="21"/>
        </w:rPr>
        <w:t>具体内容详见第六章响应文件格式的相关内容。</w:t>
      </w:r>
    </w:p>
    <w:p>
      <w:pPr>
        <w:pStyle w:val="34"/>
        <w:numPr>
          <w:ilvl w:val="1"/>
          <w:numId w:val="7"/>
        </w:numPr>
        <w:tabs>
          <w:tab w:val="left" w:pos="1195"/>
        </w:tabs>
        <w:spacing w:before="159" w:line="360" w:lineRule="auto"/>
        <w:ind w:right="249" w:firstLine="436"/>
        <w:rPr>
          <w:spacing w:val="-1"/>
          <w:sz w:val="21"/>
          <w:szCs w:val="21"/>
        </w:rPr>
      </w:pPr>
      <w:r>
        <w:rPr>
          <w:spacing w:val="-1"/>
          <w:sz w:val="21"/>
          <w:szCs w:val="21"/>
        </w:rPr>
        <w:t>上述文件应按照磋商文件规定的格式填写、签署和盖章。</w:t>
      </w:r>
    </w:p>
    <w:p>
      <w:pPr>
        <w:pStyle w:val="6"/>
        <w:numPr>
          <w:ilvl w:val="0"/>
          <w:numId w:val="7"/>
        </w:numPr>
        <w:rPr>
          <w:rFonts w:eastAsia="宋体" w:cs="Times New Roman"/>
        </w:rPr>
      </w:pPr>
      <w:r>
        <w:rPr>
          <w:rFonts w:eastAsia="宋体" w:cs="Times New Roman"/>
        </w:rPr>
        <w:t>证明标的的合格性和符合磋商文件规定的响应文件</w:t>
      </w:r>
    </w:p>
    <w:p>
      <w:pPr>
        <w:pStyle w:val="34"/>
        <w:numPr>
          <w:ilvl w:val="1"/>
          <w:numId w:val="7"/>
        </w:numPr>
        <w:tabs>
          <w:tab w:val="left" w:pos="1195"/>
        </w:tabs>
        <w:spacing w:before="159" w:line="360" w:lineRule="auto"/>
        <w:ind w:right="249" w:firstLine="436"/>
        <w:rPr>
          <w:spacing w:val="-1"/>
          <w:sz w:val="21"/>
          <w:szCs w:val="21"/>
        </w:rPr>
      </w:pPr>
      <w:r>
        <w:rPr>
          <w:spacing w:val="-1"/>
          <w:sz w:val="21"/>
          <w:szCs w:val="21"/>
        </w:rPr>
        <w:t>供应商应提交磋商文件要求的证明文件，证明其响应内容符合磋商文件规定。该证明文件是响应文件的一部分。</w:t>
      </w:r>
    </w:p>
    <w:p>
      <w:pPr>
        <w:pStyle w:val="34"/>
        <w:numPr>
          <w:ilvl w:val="1"/>
          <w:numId w:val="7"/>
        </w:numPr>
        <w:tabs>
          <w:tab w:val="left" w:pos="1195"/>
        </w:tabs>
        <w:spacing w:before="159" w:line="360" w:lineRule="auto"/>
        <w:ind w:right="249" w:firstLine="436"/>
        <w:rPr>
          <w:spacing w:val="-1"/>
          <w:sz w:val="21"/>
          <w:szCs w:val="21"/>
        </w:rPr>
      </w:pPr>
      <w:r>
        <w:rPr>
          <w:spacing w:val="-1"/>
          <w:sz w:val="21"/>
          <w:szCs w:val="21"/>
        </w:rPr>
        <w:t>上款所述的证明文件，可以是文字资料、图纸和数据。</w:t>
      </w:r>
    </w:p>
    <w:p>
      <w:pPr>
        <w:pStyle w:val="34"/>
        <w:numPr>
          <w:ilvl w:val="1"/>
          <w:numId w:val="7"/>
        </w:numPr>
        <w:tabs>
          <w:tab w:val="left" w:pos="1195"/>
        </w:tabs>
        <w:spacing w:before="159" w:line="360" w:lineRule="auto"/>
        <w:ind w:right="249" w:firstLine="436"/>
        <w:rPr>
          <w:spacing w:val="-1"/>
          <w:sz w:val="21"/>
          <w:szCs w:val="21"/>
        </w:rPr>
      </w:pPr>
      <w:r>
        <w:rPr>
          <w:spacing w:val="-1"/>
          <w:sz w:val="21"/>
          <w:szCs w:val="21"/>
        </w:rPr>
        <w:t>本条所指证明文件不包括对磋商文件相关部分的文字、图标的复制。</w:t>
      </w:r>
    </w:p>
    <w:p>
      <w:pPr>
        <w:pStyle w:val="34"/>
        <w:numPr>
          <w:ilvl w:val="1"/>
          <w:numId w:val="7"/>
        </w:numPr>
        <w:tabs>
          <w:tab w:val="left" w:pos="1195"/>
        </w:tabs>
        <w:spacing w:before="159" w:line="360" w:lineRule="auto"/>
        <w:ind w:right="249" w:firstLine="436"/>
        <w:rPr>
          <w:sz w:val="21"/>
          <w:szCs w:val="21"/>
        </w:rPr>
      </w:pPr>
      <w:r>
        <w:rPr>
          <w:spacing w:val="-1"/>
          <w:sz w:val="21"/>
          <w:szCs w:val="21"/>
        </w:rPr>
        <w:t>为保证公平</w:t>
      </w:r>
      <w:r>
        <w:rPr>
          <w:sz w:val="21"/>
          <w:szCs w:val="21"/>
        </w:rPr>
        <w:t>公正，除非另有规定或说明，供应商对同一项目磋商时， 不得同时提供备选磋商方案。</w:t>
      </w:r>
    </w:p>
    <w:p>
      <w:pPr>
        <w:pStyle w:val="6"/>
        <w:numPr>
          <w:ilvl w:val="0"/>
          <w:numId w:val="8"/>
        </w:numPr>
      </w:pPr>
      <w:r>
        <w:t>报价</w:t>
      </w:r>
    </w:p>
    <w:p>
      <w:pPr>
        <w:pStyle w:val="34"/>
        <w:numPr>
          <w:ilvl w:val="1"/>
          <w:numId w:val="8"/>
        </w:numPr>
        <w:tabs>
          <w:tab w:val="left" w:pos="1272"/>
        </w:tabs>
        <w:spacing w:before="158" w:line="360" w:lineRule="auto"/>
        <w:ind w:right="368" w:firstLine="434"/>
        <w:jc w:val="both"/>
        <w:rPr>
          <w:sz w:val="21"/>
          <w:szCs w:val="21"/>
        </w:rPr>
      </w:pPr>
      <w:r>
        <w:rPr>
          <w:spacing w:val="-1"/>
          <w:sz w:val="21"/>
          <w:szCs w:val="21"/>
        </w:rPr>
        <w:t xml:space="preserve">供应商的报价应当包括满足本次磋商全部采购需求所应提供的服务， </w:t>
      </w:r>
      <w:r>
        <w:rPr>
          <w:sz w:val="21"/>
          <w:szCs w:val="21"/>
        </w:rPr>
        <w:t>以及伴随的货物和工程。所有内容均应以人民币报价，供应商的磋商报价应遵</w:t>
      </w:r>
      <w:r>
        <w:rPr>
          <w:spacing w:val="-10"/>
          <w:sz w:val="21"/>
          <w:szCs w:val="21"/>
        </w:rPr>
        <w:t>守《中华人民共和国价格法》。</w:t>
      </w:r>
    </w:p>
    <w:p>
      <w:pPr>
        <w:pStyle w:val="34"/>
        <w:numPr>
          <w:ilvl w:val="1"/>
          <w:numId w:val="8"/>
        </w:numPr>
        <w:tabs>
          <w:tab w:val="left" w:pos="1210"/>
        </w:tabs>
        <w:spacing w:line="360" w:lineRule="auto"/>
        <w:ind w:right="369" w:firstLine="434"/>
        <w:jc w:val="both"/>
        <w:rPr>
          <w:sz w:val="21"/>
          <w:szCs w:val="21"/>
        </w:rPr>
      </w:pPr>
      <w:r>
        <w:rPr>
          <w:spacing w:val="-7"/>
          <w:sz w:val="21"/>
          <w:szCs w:val="21"/>
        </w:rPr>
        <w:t>供应商应在分项报价表上标明分项服务、伴随的货物和工程的价格</w:t>
      </w:r>
      <w:r>
        <w:rPr>
          <w:sz w:val="21"/>
          <w:szCs w:val="21"/>
        </w:rPr>
        <w:t>（</w:t>
      </w:r>
      <w:r>
        <w:rPr>
          <w:spacing w:val="-15"/>
          <w:sz w:val="21"/>
          <w:szCs w:val="21"/>
        </w:rPr>
        <w:t>如</w:t>
      </w:r>
      <w:r>
        <w:rPr>
          <w:sz w:val="21"/>
          <w:szCs w:val="21"/>
        </w:rPr>
        <w:t>适用）和总价，未标明的视同包含在磋商报价中。</w:t>
      </w:r>
    </w:p>
    <w:p>
      <w:pPr>
        <w:pStyle w:val="34"/>
        <w:numPr>
          <w:ilvl w:val="1"/>
          <w:numId w:val="8"/>
        </w:numPr>
        <w:tabs>
          <w:tab w:val="left" w:pos="1272"/>
        </w:tabs>
        <w:spacing w:before="5" w:line="360" w:lineRule="auto"/>
        <w:ind w:right="373" w:firstLine="434"/>
        <w:jc w:val="both"/>
        <w:rPr>
          <w:sz w:val="21"/>
          <w:szCs w:val="21"/>
        </w:rPr>
      </w:pPr>
      <w:r>
        <w:rPr>
          <w:spacing w:val="-1"/>
          <w:sz w:val="21"/>
          <w:szCs w:val="21"/>
        </w:rPr>
        <w:t>除非磋商文件另有规定或经采购人同意支付的，最后报价均不得高于</w:t>
      </w:r>
      <w:r>
        <w:rPr>
          <w:sz w:val="21"/>
          <w:szCs w:val="21"/>
        </w:rPr>
        <w:t>磋商文件（公告）列明的</w:t>
      </w:r>
      <w:r>
        <w:rPr>
          <w:rFonts w:hint="eastAsia"/>
          <w:sz w:val="21"/>
          <w:szCs w:val="21"/>
        </w:rPr>
        <w:t>最高限价</w:t>
      </w:r>
      <w:r>
        <w:rPr>
          <w:sz w:val="21"/>
          <w:szCs w:val="21"/>
        </w:rPr>
        <w:t>，否则其响应文件将被认定为</w:t>
      </w:r>
      <w:r>
        <w:rPr>
          <w:b/>
          <w:sz w:val="21"/>
          <w:szCs w:val="21"/>
        </w:rPr>
        <w:t>响应无效</w:t>
      </w:r>
      <w:r>
        <w:rPr>
          <w:sz w:val="21"/>
          <w:szCs w:val="21"/>
        </w:rPr>
        <w:t>。</w:t>
      </w:r>
    </w:p>
    <w:p>
      <w:pPr>
        <w:pStyle w:val="34"/>
        <w:numPr>
          <w:ilvl w:val="1"/>
          <w:numId w:val="8"/>
        </w:numPr>
        <w:tabs>
          <w:tab w:val="left" w:pos="1272"/>
        </w:tabs>
        <w:spacing w:line="360" w:lineRule="auto"/>
        <w:ind w:left="1271"/>
        <w:jc w:val="both"/>
        <w:rPr>
          <w:sz w:val="21"/>
          <w:szCs w:val="21"/>
        </w:rPr>
      </w:pPr>
      <w:r>
        <w:rPr>
          <w:sz w:val="21"/>
          <w:szCs w:val="21"/>
        </w:rPr>
        <w:t>报价在合同履行过程中是固定不变的，不得以任何理由予以变更。任</w:t>
      </w:r>
    </w:p>
    <w:p>
      <w:pPr>
        <w:pStyle w:val="2"/>
        <w:spacing w:before="160" w:line="360" w:lineRule="auto"/>
        <w:ind w:left="234"/>
        <w:rPr>
          <w:sz w:val="21"/>
          <w:szCs w:val="21"/>
        </w:rPr>
      </w:pPr>
      <w:r>
        <w:rPr>
          <w:sz w:val="21"/>
          <w:szCs w:val="21"/>
        </w:rPr>
        <w:t>何包含价格调整要求的磋商，其响应文件将被认定为</w:t>
      </w:r>
      <w:r>
        <w:rPr>
          <w:b/>
          <w:sz w:val="21"/>
          <w:szCs w:val="21"/>
        </w:rPr>
        <w:t>响应无效</w:t>
      </w:r>
      <w:r>
        <w:rPr>
          <w:sz w:val="21"/>
          <w:szCs w:val="21"/>
        </w:rPr>
        <w:t>。</w:t>
      </w:r>
    </w:p>
    <w:p>
      <w:pPr>
        <w:pStyle w:val="34"/>
        <w:tabs>
          <w:tab w:val="left" w:pos="1210"/>
        </w:tabs>
        <w:spacing w:before="56" w:line="360" w:lineRule="auto"/>
        <w:ind w:left="671" w:right="3835" w:firstLine="0"/>
        <w:rPr>
          <w:spacing w:val="-2"/>
          <w:sz w:val="21"/>
          <w:szCs w:val="21"/>
        </w:rPr>
      </w:pPr>
      <w:r>
        <w:rPr>
          <w:rFonts w:hint="eastAsia"/>
          <w:spacing w:val="-2"/>
          <w:sz w:val="21"/>
          <w:szCs w:val="21"/>
        </w:rPr>
        <w:t xml:space="preserve">12.5 </w:t>
      </w:r>
      <w:r>
        <w:rPr>
          <w:spacing w:val="-2"/>
          <w:sz w:val="21"/>
          <w:szCs w:val="21"/>
        </w:rPr>
        <w:t>采购人不接受具有附加条件的报价。</w:t>
      </w:r>
    </w:p>
    <w:p>
      <w:pPr>
        <w:pStyle w:val="6"/>
        <w:numPr>
          <w:ilvl w:val="0"/>
          <w:numId w:val="8"/>
        </w:numPr>
        <w:rPr>
          <w:rFonts w:eastAsia="宋体" w:cs="Times New Roman"/>
        </w:rPr>
      </w:pPr>
      <w:r>
        <w:rPr>
          <w:rFonts w:eastAsia="宋体" w:cs="Times New Roman"/>
        </w:rPr>
        <w:t>磋商保证金</w:t>
      </w:r>
    </w:p>
    <w:p>
      <w:pPr>
        <w:pStyle w:val="34"/>
        <w:tabs>
          <w:tab w:val="left" w:pos="1210"/>
        </w:tabs>
        <w:spacing w:before="56" w:line="360" w:lineRule="auto"/>
        <w:ind w:left="671" w:right="3835" w:firstLine="0"/>
        <w:jc w:val="both"/>
        <w:rPr>
          <w:spacing w:val="-1"/>
          <w:sz w:val="21"/>
          <w:szCs w:val="21"/>
        </w:rPr>
      </w:pPr>
      <w:r>
        <w:rPr>
          <w:rFonts w:hint="eastAsia"/>
          <w:spacing w:val="-1"/>
          <w:sz w:val="21"/>
          <w:szCs w:val="21"/>
          <w:lang w:val="en-US"/>
        </w:rPr>
        <w:t>详见</w:t>
      </w:r>
      <w:r>
        <w:rPr>
          <w:rFonts w:hint="eastAsia"/>
          <w:spacing w:val="-1"/>
          <w:sz w:val="21"/>
          <w:szCs w:val="21"/>
        </w:rPr>
        <w:t>供应商须知前附表</w:t>
      </w:r>
    </w:p>
    <w:p>
      <w:pPr>
        <w:pStyle w:val="6"/>
        <w:numPr>
          <w:ilvl w:val="0"/>
          <w:numId w:val="8"/>
        </w:numPr>
        <w:rPr>
          <w:rFonts w:eastAsia="宋体" w:cs="Times New Roman"/>
        </w:rPr>
      </w:pPr>
      <w:r>
        <w:rPr>
          <w:rFonts w:eastAsia="宋体" w:cs="Times New Roman"/>
        </w:rPr>
        <w:t>磋商有效期</w:t>
      </w:r>
    </w:p>
    <w:p>
      <w:pPr>
        <w:pStyle w:val="34"/>
        <w:numPr>
          <w:ilvl w:val="1"/>
          <w:numId w:val="9"/>
        </w:numPr>
        <w:tabs>
          <w:tab w:val="left" w:pos="1272"/>
        </w:tabs>
        <w:spacing w:before="56" w:line="360" w:lineRule="auto"/>
        <w:ind w:right="371" w:firstLine="434"/>
        <w:jc w:val="both"/>
        <w:rPr>
          <w:sz w:val="21"/>
          <w:szCs w:val="21"/>
        </w:rPr>
      </w:pPr>
      <w:r>
        <w:rPr>
          <w:spacing w:val="-1"/>
          <w:sz w:val="21"/>
          <w:szCs w:val="21"/>
        </w:rPr>
        <w:t>磋商有效期为从响应文件提交截止之日算起的日历天数，磋商有效期</w:t>
      </w:r>
      <w:r>
        <w:rPr>
          <w:sz w:val="21"/>
          <w:szCs w:val="21"/>
        </w:rPr>
        <w:t>详见</w:t>
      </w:r>
      <w:r>
        <w:rPr>
          <w:sz w:val="21"/>
          <w:szCs w:val="21"/>
          <w:u w:val="single"/>
        </w:rPr>
        <w:t>供应商须知前附表</w:t>
      </w:r>
      <w:r>
        <w:rPr>
          <w:sz w:val="21"/>
          <w:szCs w:val="21"/>
        </w:rPr>
        <w:t>。</w:t>
      </w:r>
    </w:p>
    <w:p>
      <w:pPr>
        <w:pStyle w:val="34"/>
        <w:numPr>
          <w:ilvl w:val="1"/>
          <w:numId w:val="9"/>
        </w:numPr>
        <w:tabs>
          <w:tab w:val="left" w:pos="1272"/>
        </w:tabs>
        <w:spacing w:line="360" w:lineRule="auto"/>
        <w:ind w:right="363" w:firstLine="434"/>
        <w:jc w:val="both"/>
        <w:rPr>
          <w:sz w:val="21"/>
          <w:szCs w:val="21"/>
        </w:rPr>
      </w:pPr>
      <w:r>
        <w:rPr>
          <w:sz w:val="21"/>
          <w:szCs w:val="21"/>
        </w:rPr>
        <w:t>在磋商有效期内，供应商的磋商保持有效，供应商不得要求撤销或修改其响应文件。磋商有效期不满足要求的响应，其响应文件将被认定为</w:t>
      </w:r>
      <w:r>
        <w:rPr>
          <w:b/>
          <w:spacing w:val="4"/>
          <w:sz w:val="21"/>
          <w:szCs w:val="21"/>
        </w:rPr>
        <w:t>响应无</w:t>
      </w:r>
      <w:r>
        <w:rPr>
          <w:b/>
          <w:sz w:val="21"/>
          <w:szCs w:val="21"/>
        </w:rPr>
        <w:t>效</w:t>
      </w:r>
      <w:r>
        <w:rPr>
          <w:sz w:val="21"/>
          <w:szCs w:val="21"/>
        </w:rPr>
        <w:t>。</w:t>
      </w:r>
    </w:p>
    <w:p>
      <w:pPr>
        <w:pStyle w:val="34"/>
        <w:numPr>
          <w:ilvl w:val="1"/>
          <w:numId w:val="9"/>
        </w:numPr>
        <w:tabs>
          <w:tab w:val="left" w:pos="1193"/>
        </w:tabs>
        <w:spacing w:line="360" w:lineRule="auto"/>
        <w:ind w:right="249" w:firstLine="434"/>
        <w:rPr>
          <w:sz w:val="21"/>
          <w:szCs w:val="21"/>
        </w:rPr>
      </w:pPr>
      <w:r>
        <w:rPr>
          <w:spacing w:val="-10"/>
          <w:sz w:val="21"/>
          <w:szCs w:val="21"/>
        </w:rPr>
        <w:t xml:space="preserve">为保证有充分时间签订合同，采购人或采购代理机构可根据实际情况， </w:t>
      </w:r>
      <w:r>
        <w:rPr>
          <w:sz w:val="21"/>
          <w:szCs w:val="21"/>
        </w:rPr>
        <w:t>在原磋商有效期截止之前，要求供应商延长磋商有效期。接受该要求的供应商</w:t>
      </w:r>
      <w:r>
        <w:rPr>
          <w:spacing w:val="-1"/>
          <w:sz w:val="21"/>
          <w:szCs w:val="21"/>
        </w:rPr>
        <w:t xml:space="preserve">将不会被要求和允许修正其响应文件。供应商可以拒绝延长磋商有效期的要求， </w:t>
      </w:r>
      <w:r>
        <w:rPr>
          <w:sz w:val="21"/>
          <w:szCs w:val="21"/>
        </w:rPr>
        <w:t>且不承担任何责任。上述要求和答复都应以书面形式提交。</w:t>
      </w:r>
    </w:p>
    <w:p>
      <w:pPr>
        <w:pStyle w:val="6"/>
        <w:numPr>
          <w:ilvl w:val="0"/>
          <w:numId w:val="10"/>
        </w:numPr>
      </w:pPr>
      <w:r>
        <w:t>响应文件的制作</w:t>
      </w:r>
    </w:p>
    <w:p>
      <w:pPr>
        <w:pStyle w:val="34"/>
        <w:numPr>
          <w:ilvl w:val="1"/>
          <w:numId w:val="10"/>
        </w:numPr>
        <w:tabs>
          <w:tab w:val="left" w:pos="1210"/>
        </w:tabs>
        <w:spacing w:line="360" w:lineRule="auto"/>
        <w:rPr>
          <w:spacing w:val="-8"/>
          <w:sz w:val="21"/>
          <w:szCs w:val="21"/>
        </w:rPr>
      </w:pPr>
      <w:r>
        <w:rPr>
          <w:rFonts w:hint="eastAsia"/>
          <w:spacing w:val="-8"/>
          <w:sz w:val="21"/>
          <w:szCs w:val="21"/>
        </w:rPr>
        <w:t>响应文件应按第六章“响应文件格式”进行编写，如有必要，可以增加附页，作为响应文件的组成部分。</w:t>
      </w:r>
    </w:p>
    <w:p>
      <w:pPr>
        <w:pStyle w:val="34"/>
        <w:numPr>
          <w:ilvl w:val="1"/>
          <w:numId w:val="10"/>
        </w:numPr>
        <w:tabs>
          <w:tab w:val="left" w:pos="1210"/>
        </w:tabs>
        <w:spacing w:line="360" w:lineRule="auto"/>
        <w:rPr>
          <w:spacing w:val="-8"/>
          <w:sz w:val="21"/>
          <w:szCs w:val="21"/>
        </w:rPr>
      </w:pPr>
      <w:r>
        <w:rPr>
          <w:rFonts w:hint="eastAsia"/>
          <w:spacing w:val="-8"/>
          <w:sz w:val="21"/>
          <w:szCs w:val="21"/>
        </w:rPr>
        <w:t>响应文件应当对磋商文件有关服务期、磋商有效期、质量要求、采购需求、采购范围等实质性内容作出响应。</w:t>
      </w:r>
    </w:p>
    <w:p>
      <w:pPr>
        <w:pStyle w:val="34"/>
        <w:numPr>
          <w:ilvl w:val="1"/>
          <w:numId w:val="10"/>
        </w:numPr>
        <w:tabs>
          <w:tab w:val="left" w:pos="1210"/>
        </w:tabs>
        <w:spacing w:line="360" w:lineRule="auto"/>
        <w:rPr>
          <w:spacing w:val="-8"/>
          <w:sz w:val="21"/>
          <w:szCs w:val="21"/>
        </w:rPr>
      </w:pPr>
      <w:r>
        <w:rPr>
          <w:rFonts w:hint="eastAsia"/>
          <w:spacing w:val="-8"/>
          <w:sz w:val="21"/>
          <w:szCs w:val="21"/>
        </w:rPr>
        <w:t>响应文件应打印，并由供应商的法定代表人或其委托代理人签字或盖章并加盖单位章。委托代理人签字的，响应文件应附法定代表人签署的授权委托书。</w:t>
      </w:r>
    </w:p>
    <w:p>
      <w:pPr>
        <w:pStyle w:val="34"/>
        <w:numPr>
          <w:ilvl w:val="1"/>
          <w:numId w:val="10"/>
        </w:numPr>
        <w:tabs>
          <w:tab w:val="left" w:pos="1210"/>
        </w:tabs>
        <w:spacing w:line="360" w:lineRule="auto"/>
        <w:rPr>
          <w:spacing w:val="-8"/>
          <w:sz w:val="21"/>
          <w:szCs w:val="21"/>
        </w:rPr>
      </w:pPr>
      <w:r>
        <w:rPr>
          <w:rFonts w:hint="eastAsia"/>
          <w:spacing w:val="-8"/>
          <w:sz w:val="21"/>
          <w:szCs w:val="21"/>
        </w:rPr>
        <w:t>响应文件的内容：详见第六章“响应文件格式”</w:t>
      </w:r>
    </w:p>
    <w:p>
      <w:pPr>
        <w:pStyle w:val="34"/>
        <w:numPr>
          <w:ilvl w:val="1"/>
          <w:numId w:val="10"/>
        </w:numPr>
        <w:tabs>
          <w:tab w:val="left" w:pos="1210"/>
        </w:tabs>
        <w:spacing w:line="360" w:lineRule="auto"/>
        <w:rPr>
          <w:spacing w:val="-8"/>
          <w:sz w:val="21"/>
          <w:szCs w:val="21"/>
        </w:rPr>
      </w:pPr>
      <w:r>
        <w:rPr>
          <w:rFonts w:hint="eastAsia"/>
          <w:spacing w:val="-8"/>
          <w:sz w:val="21"/>
          <w:szCs w:val="21"/>
        </w:rPr>
        <w:t>响应文件正本一份,副本数量见供应商须知前附表。正本和副本的封面上应清楚地标记“正本”或“副本”的字样。当副本和正本不一致时，以正本为准。</w:t>
      </w:r>
    </w:p>
    <w:p>
      <w:pPr>
        <w:pStyle w:val="34"/>
        <w:numPr>
          <w:ilvl w:val="1"/>
          <w:numId w:val="10"/>
        </w:numPr>
        <w:tabs>
          <w:tab w:val="left" w:pos="1210"/>
        </w:tabs>
        <w:spacing w:line="360" w:lineRule="auto"/>
        <w:jc w:val="both"/>
        <w:rPr>
          <w:sz w:val="21"/>
          <w:szCs w:val="21"/>
        </w:rPr>
      </w:pPr>
      <w:r>
        <w:rPr>
          <w:rFonts w:hint="eastAsia"/>
          <w:spacing w:val="-8"/>
          <w:sz w:val="21"/>
          <w:szCs w:val="21"/>
        </w:rPr>
        <w:t>响应文件的正本与副本应分别装订成册，具体装订要求见供应商须知前附表规定。磋商现场提交的其他材料要求详见供应商须知前附表。</w:t>
      </w:r>
    </w:p>
    <w:p>
      <w:pPr>
        <w:pStyle w:val="6"/>
        <w:numPr>
          <w:ilvl w:val="0"/>
          <w:numId w:val="10"/>
        </w:numPr>
      </w:pPr>
      <w:r>
        <w:t>响应文件提交截止时间</w:t>
      </w:r>
    </w:p>
    <w:p>
      <w:pPr>
        <w:pStyle w:val="34"/>
        <w:numPr>
          <w:ilvl w:val="1"/>
          <w:numId w:val="10"/>
        </w:numPr>
        <w:tabs>
          <w:tab w:val="left" w:pos="1272"/>
        </w:tabs>
        <w:spacing w:before="161" w:line="360" w:lineRule="auto"/>
        <w:ind w:left="234" w:right="369" w:firstLine="434"/>
        <w:rPr>
          <w:sz w:val="21"/>
          <w:szCs w:val="21"/>
        </w:rPr>
      </w:pPr>
      <w:r>
        <w:rPr>
          <w:sz w:val="21"/>
          <w:szCs w:val="21"/>
        </w:rPr>
        <w:t>供应商应在</w:t>
      </w:r>
      <w:r>
        <w:rPr>
          <w:sz w:val="21"/>
          <w:szCs w:val="21"/>
          <w:u w:val="single"/>
        </w:rPr>
        <w:t>供应商须知前附表</w:t>
      </w:r>
      <w:r>
        <w:rPr>
          <w:spacing w:val="-1"/>
          <w:sz w:val="21"/>
          <w:szCs w:val="21"/>
        </w:rPr>
        <w:t>中规定的响应文件提交截止时间前，</w:t>
      </w:r>
      <w:r>
        <w:rPr>
          <w:sz w:val="21"/>
          <w:szCs w:val="21"/>
        </w:rPr>
        <w:t>提交响应文件。</w:t>
      </w:r>
    </w:p>
    <w:p>
      <w:pPr>
        <w:pStyle w:val="6"/>
        <w:numPr>
          <w:ilvl w:val="0"/>
          <w:numId w:val="10"/>
        </w:numPr>
      </w:pPr>
      <w:r>
        <w:t>响应文件的提交、修改与撤回</w:t>
      </w:r>
    </w:p>
    <w:p>
      <w:pPr>
        <w:pStyle w:val="34"/>
        <w:numPr>
          <w:ilvl w:val="1"/>
          <w:numId w:val="10"/>
        </w:numPr>
        <w:tabs>
          <w:tab w:val="left" w:pos="1210"/>
        </w:tabs>
        <w:spacing w:before="161" w:line="360" w:lineRule="auto"/>
        <w:ind w:left="234" w:right="368" w:firstLine="434"/>
        <w:jc w:val="both"/>
        <w:rPr>
          <w:sz w:val="21"/>
          <w:szCs w:val="21"/>
        </w:rPr>
      </w:pPr>
      <w:r>
        <w:rPr>
          <w:spacing w:val="-2"/>
          <w:sz w:val="21"/>
          <w:szCs w:val="21"/>
        </w:rPr>
        <w:t>供应商应当在第一章“磋商公告</w:t>
      </w:r>
      <w:r>
        <w:rPr>
          <w:sz w:val="21"/>
          <w:szCs w:val="21"/>
        </w:rPr>
        <w:t>（磋商邀请</w:t>
      </w:r>
      <w:r>
        <w:rPr>
          <w:spacing w:val="-120"/>
          <w:sz w:val="21"/>
          <w:szCs w:val="21"/>
        </w:rPr>
        <w:t>）</w:t>
      </w:r>
      <w:r>
        <w:rPr>
          <w:spacing w:val="-4"/>
          <w:sz w:val="21"/>
          <w:szCs w:val="21"/>
        </w:rPr>
        <w:t>”规定的响应文件提交截</w:t>
      </w:r>
      <w:r>
        <w:rPr>
          <w:sz w:val="21"/>
          <w:szCs w:val="21"/>
        </w:rPr>
        <w:t>止时间前，</w:t>
      </w:r>
      <w:r>
        <w:rPr>
          <w:rFonts w:hint="eastAsia"/>
          <w:sz w:val="21"/>
          <w:szCs w:val="21"/>
        </w:rPr>
        <w:t>提交响应文件</w:t>
      </w:r>
      <w:r>
        <w:rPr>
          <w:sz w:val="21"/>
          <w:szCs w:val="21"/>
        </w:rPr>
        <w:t>。</w:t>
      </w:r>
    </w:p>
    <w:p>
      <w:pPr>
        <w:pStyle w:val="34"/>
        <w:numPr>
          <w:ilvl w:val="1"/>
          <w:numId w:val="10"/>
        </w:numPr>
        <w:tabs>
          <w:tab w:val="left" w:pos="1272"/>
        </w:tabs>
        <w:spacing w:before="5" w:line="360" w:lineRule="auto"/>
        <w:ind w:left="234" w:right="369" w:firstLine="434"/>
        <w:jc w:val="both"/>
        <w:rPr>
          <w:sz w:val="21"/>
          <w:szCs w:val="21"/>
        </w:rPr>
      </w:pPr>
      <w:r>
        <w:rPr>
          <w:sz w:val="21"/>
          <w:szCs w:val="21"/>
        </w:rPr>
        <w:t>供应商应当在响应文件提交截止时间前完成响应文件的提交</w:t>
      </w:r>
      <w:r>
        <w:rPr>
          <w:spacing w:val="-1"/>
          <w:sz w:val="21"/>
          <w:szCs w:val="21"/>
        </w:rPr>
        <w:t>并可以补充、修改或者撤回响应文件</w:t>
      </w:r>
      <w:r>
        <w:rPr>
          <w:sz w:val="21"/>
          <w:szCs w:val="21"/>
        </w:rPr>
        <w:t>。未按规定加密或响应文件提交截止时间后送达的响应文件，应当拒收。</w:t>
      </w:r>
    </w:p>
    <w:p>
      <w:pPr>
        <w:pStyle w:val="34"/>
        <w:numPr>
          <w:ilvl w:val="1"/>
          <w:numId w:val="10"/>
        </w:numPr>
        <w:tabs>
          <w:tab w:val="left" w:pos="1193"/>
        </w:tabs>
        <w:spacing w:line="360" w:lineRule="auto"/>
        <w:ind w:left="234" w:right="371" w:firstLine="434"/>
        <w:jc w:val="both"/>
        <w:rPr>
          <w:sz w:val="21"/>
          <w:szCs w:val="21"/>
        </w:rPr>
      </w:pPr>
      <w:r>
        <w:rPr>
          <w:spacing w:val="-10"/>
          <w:sz w:val="21"/>
          <w:szCs w:val="21"/>
        </w:rPr>
        <w:t>在响应文件提交截止时间之后，供应商不得对其响应文件做任何修改。</w:t>
      </w:r>
      <w:r>
        <w:rPr>
          <w:sz w:val="21"/>
          <w:szCs w:val="21"/>
        </w:rPr>
        <w:t>但属于磋商小组在评审中发现的计算错误并进行核实的修改、按照磋商文件的变动情况和磋商小组的要求重新提交响应文件的，不在此列。</w:t>
      </w:r>
    </w:p>
    <w:p>
      <w:pPr>
        <w:pStyle w:val="6"/>
        <w:numPr>
          <w:ilvl w:val="0"/>
          <w:numId w:val="10"/>
        </w:numPr>
      </w:pPr>
      <w:r>
        <w:t>磋商小组</w:t>
      </w:r>
    </w:p>
    <w:p>
      <w:pPr>
        <w:pStyle w:val="34"/>
        <w:numPr>
          <w:ilvl w:val="1"/>
          <w:numId w:val="10"/>
        </w:numPr>
        <w:tabs>
          <w:tab w:val="left" w:pos="1243"/>
        </w:tabs>
        <w:spacing w:before="158" w:line="360" w:lineRule="auto"/>
        <w:ind w:left="234" w:right="368" w:firstLine="434"/>
        <w:rPr>
          <w:sz w:val="21"/>
          <w:szCs w:val="21"/>
        </w:rPr>
      </w:pPr>
      <w:r>
        <w:rPr>
          <w:spacing w:val="-2"/>
          <w:sz w:val="21"/>
          <w:szCs w:val="21"/>
        </w:rPr>
        <w:t xml:space="preserve">本项目将依法组建磋商小组，磋商小组成员由 </w:t>
      </w:r>
      <w:r>
        <w:rPr>
          <w:sz w:val="21"/>
          <w:szCs w:val="21"/>
        </w:rPr>
        <w:t>3</w:t>
      </w:r>
      <w:r>
        <w:rPr>
          <w:spacing w:val="-6"/>
          <w:sz w:val="21"/>
          <w:szCs w:val="21"/>
        </w:rPr>
        <w:t xml:space="preserve"> 人</w:t>
      </w:r>
      <w:r>
        <w:rPr>
          <w:rFonts w:hint="eastAsia"/>
          <w:spacing w:val="-6"/>
          <w:sz w:val="21"/>
          <w:szCs w:val="21"/>
        </w:rPr>
        <w:t>及</w:t>
      </w:r>
      <w:r>
        <w:rPr>
          <w:spacing w:val="-6"/>
          <w:sz w:val="21"/>
          <w:szCs w:val="21"/>
        </w:rPr>
        <w:t>以上单数组成，磋</w:t>
      </w:r>
      <w:r>
        <w:rPr>
          <w:sz w:val="21"/>
          <w:szCs w:val="21"/>
        </w:rPr>
        <w:t>商小组及其成员应当依照</w:t>
      </w:r>
      <w:r>
        <w:rPr>
          <w:rFonts w:hint="eastAsia"/>
          <w:sz w:val="21"/>
          <w:szCs w:val="21"/>
        </w:rPr>
        <w:t>采购</w:t>
      </w:r>
      <w:r>
        <w:rPr>
          <w:sz w:val="21"/>
          <w:szCs w:val="21"/>
        </w:rPr>
        <w:t>的有关规定履行相关职责和义务。</w:t>
      </w:r>
    </w:p>
    <w:p>
      <w:pPr>
        <w:pStyle w:val="34"/>
        <w:numPr>
          <w:ilvl w:val="1"/>
          <w:numId w:val="10"/>
        </w:numPr>
        <w:tabs>
          <w:tab w:val="left" w:pos="1272"/>
        </w:tabs>
        <w:spacing w:before="6" w:line="360" w:lineRule="auto"/>
        <w:ind w:left="234" w:right="373" w:firstLine="434"/>
        <w:rPr>
          <w:sz w:val="21"/>
          <w:szCs w:val="21"/>
        </w:rPr>
      </w:pPr>
      <w:r>
        <w:rPr>
          <w:spacing w:val="-1"/>
          <w:sz w:val="21"/>
          <w:szCs w:val="21"/>
        </w:rPr>
        <w:t>磋商小组依法对响应文件进行评审，并根据磋商文件规定的程序、评</w:t>
      </w:r>
      <w:r>
        <w:rPr>
          <w:sz w:val="21"/>
          <w:szCs w:val="21"/>
        </w:rPr>
        <w:t>定成交的标准等事项与实质性响应磋商文件要求的供应商进行磋商。</w:t>
      </w:r>
    </w:p>
    <w:p>
      <w:pPr>
        <w:pStyle w:val="34"/>
        <w:numPr>
          <w:ilvl w:val="1"/>
          <w:numId w:val="10"/>
        </w:numPr>
        <w:tabs>
          <w:tab w:val="left" w:pos="1272"/>
        </w:tabs>
        <w:spacing w:before="5" w:line="360" w:lineRule="auto"/>
        <w:ind w:left="234" w:right="373" w:firstLine="434"/>
        <w:rPr>
          <w:sz w:val="21"/>
          <w:szCs w:val="21"/>
        </w:rPr>
      </w:pPr>
      <w:r>
        <w:rPr>
          <w:spacing w:val="-1"/>
          <w:sz w:val="21"/>
          <w:szCs w:val="21"/>
        </w:rPr>
        <w:t>磋商小组应当从质量和服务均能满足磋商文件实质性响应要求的供应</w:t>
      </w:r>
      <w:r>
        <w:rPr>
          <w:sz w:val="21"/>
          <w:szCs w:val="21"/>
        </w:rPr>
        <w:t>商中，按照评审方法和标准推荐成交候选供应商，并编写评审报告。</w:t>
      </w:r>
    </w:p>
    <w:p>
      <w:pPr>
        <w:pStyle w:val="6"/>
        <w:numPr>
          <w:ilvl w:val="0"/>
          <w:numId w:val="10"/>
        </w:numPr>
      </w:pPr>
      <w:r>
        <w:t>响应文件的评审与磋商</w:t>
      </w:r>
    </w:p>
    <w:p>
      <w:pPr>
        <w:pStyle w:val="34"/>
        <w:numPr>
          <w:ilvl w:val="1"/>
          <w:numId w:val="10"/>
        </w:numPr>
        <w:tabs>
          <w:tab w:val="left" w:pos="1272"/>
        </w:tabs>
        <w:spacing w:before="158" w:line="360" w:lineRule="auto"/>
        <w:ind w:left="234" w:right="370" w:firstLine="434"/>
        <w:rPr>
          <w:sz w:val="21"/>
          <w:szCs w:val="21"/>
        </w:rPr>
      </w:pPr>
      <w:r>
        <w:rPr>
          <w:sz w:val="21"/>
          <w:szCs w:val="21"/>
        </w:rPr>
        <w:t>采购人和采购代理机构将在</w:t>
      </w:r>
      <w:r>
        <w:rPr>
          <w:sz w:val="21"/>
          <w:szCs w:val="21"/>
          <w:u w:val="single"/>
        </w:rPr>
        <w:t>供应商须知前附表</w:t>
      </w:r>
      <w:r>
        <w:rPr>
          <w:spacing w:val="-2"/>
          <w:sz w:val="21"/>
          <w:szCs w:val="21"/>
        </w:rPr>
        <w:t>规定的时间和地点组织</w:t>
      </w:r>
      <w:r>
        <w:rPr>
          <w:sz w:val="21"/>
          <w:szCs w:val="21"/>
        </w:rPr>
        <w:t>磋商。</w:t>
      </w:r>
    </w:p>
    <w:p>
      <w:pPr>
        <w:pStyle w:val="34"/>
        <w:numPr>
          <w:ilvl w:val="1"/>
          <w:numId w:val="10"/>
        </w:numPr>
        <w:tabs>
          <w:tab w:val="left" w:pos="1210"/>
        </w:tabs>
        <w:spacing w:before="2" w:line="360" w:lineRule="auto"/>
        <w:ind w:left="1209" w:hanging="541"/>
        <w:rPr>
          <w:sz w:val="21"/>
          <w:szCs w:val="21"/>
        </w:rPr>
      </w:pPr>
      <w:r>
        <w:rPr>
          <w:sz w:val="21"/>
          <w:szCs w:val="21"/>
        </w:rPr>
        <w:t>竞争性磋商活动采用综合评分法评审。</w:t>
      </w:r>
    </w:p>
    <w:p>
      <w:pPr>
        <w:pStyle w:val="2"/>
        <w:spacing w:before="23" w:line="360" w:lineRule="auto"/>
        <w:ind w:left="234" w:right="373" w:firstLine="434"/>
        <w:rPr>
          <w:sz w:val="21"/>
          <w:szCs w:val="21"/>
        </w:rPr>
      </w:pPr>
      <w:r>
        <w:rPr>
          <w:spacing w:val="-10"/>
          <w:sz w:val="21"/>
          <w:szCs w:val="21"/>
        </w:rPr>
        <w:t>综合评分法，是指响应文件满足磋商文件全部实质性要求且按评审因素的量</w:t>
      </w:r>
      <w:r>
        <w:rPr>
          <w:sz w:val="21"/>
          <w:szCs w:val="21"/>
        </w:rPr>
        <w:t>化指标评审得分最高的供应商为成交候选供应商的评审方法。</w:t>
      </w:r>
    </w:p>
    <w:p>
      <w:pPr>
        <w:pStyle w:val="34"/>
        <w:numPr>
          <w:ilvl w:val="1"/>
          <w:numId w:val="10"/>
        </w:numPr>
        <w:tabs>
          <w:tab w:val="left" w:pos="1272"/>
        </w:tabs>
        <w:spacing w:before="56" w:line="360" w:lineRule="auto"/>
        <w:ind w:left="234" w:right="369" w:firstLine="434"/>
        <w:jc w:val="both"/>
        <w:rPr>
          <w:sz w:val="21"/>
          <w:szCs w:val="21"/>
        </w:rPr>
      </w:pPr>
      <w:r>
        <w:rPr>
          <w:spacing w:val="-1"/>
          <w:sz w:val="21"/>
          <w:szCs w:val="21"/>
        </w:rPr>
        <w:t>磋商小组将按照磋商文件规定的评审方法和标准对供应商独立进行评</w:t>
      </w:r>
      <w:r>
        <w:rPr>
          <w:sz w:val="21"/>
          <w:szCs w:val="21"/>
        </w:rPr>
        <w:t>审。评审程序如下：</w:t>
      </w:r>
    </w:p>
    <w:p>
      <w:pPr>
        <w:pStyle w:val="34"/>
        <w:numPr>
          <w:ilvl w:val="2"/>
          <w:numId w:val="10"/>
        </w:numPr>
        <w:tabs>
          <w:tab w:val="left" w:pos="1512"/>
        </w:tabs>
        <w:spacing w:line="360" w:lineRule="auto"/>
        <w:ind w:right="369" w:firstLine="434"/>
        <w:jc w:val="both"/>
        <w:rPr>
          <w:sz w:val="21"/>
          <w:szCs w:val="21"/>
        </w:rPr>
      </w:pPr>
      <w:r>
        <w:rPr>
          <w:b/>
          <w:sz w:val="21"/>
          <w:szCs w:val="21"/>
        </w:rPr>
        <w:t>初审</w:t>
      </w:r>
      <w:r>
        <w:rPr>
          <w:sz w:val="21"/>
          <w:szCs w:val="21"/>
        </w:rPr>
        <w:t>。磋商小组对供应商必须满足和实质性响应的内容进行评审， 供应商未实质性响应磋商文件要求导致响应无效的，磋商小组将以书面询标的方式告知有关供应商。</w:t>
      </w:r>
    </w:p>
    <w:p>
      <w:pPr>
        <w:pStyle w:val="2"/>
        <w:spacing w:line="360" w:lineRule="auto"/>
        <w:ind w:left="234" w:right="363" w:firstLine="470"/>
        <w:jc w:val="both"/>
        <w:rPr>
          <w:sz w:val="21"/>
          <w:szCs w:val="21"/>
        </w:rPr>
      </w:pPr>
      <w:r>
        <w:rPr>
          <w:sz w:val="21"/>
          <w:szCs w:val="21"/>
        </w:rPr>
        <w:t>采购人或采购代理机构将在响应文件提交截止时间后至评审结束前查询供应商的信用记录。供应商存在不良信用记录的，其响应文件将被认定为</w:t>
      </w:r>
      <w:r>
        <w:rPr>
          <w:b/>
          <w:sz w:val="21"/>
          <w:szCs w:val="21"/>
        </w:rPr>
        <w:t>响应无效</w:t>
      </w:r>
      <w:r>
        <w:rPr>
          <w:sz w:val="21"/>
          <w:szCs w:val="21"/>
        </w:rPr>
        <w:t>。</w:t>
      </w:r>
    </w:p>
    <w:p>
      <w:pPr>
        <w:pStyle w:val="34"/>
        <w:numPr>
          <w:ilvl w:val="2"/>
          <w:numId w:val="10"/>
        </w:numPr>
        <w:tabs>
          <w:tab w:val="left" w:pos="1512"/>
        </w:tabs>
        <w:spacing w:line="360" w:lineRule="auto"/>
        <w:ind w:right="365" w:firstLine="434"/>
        <w:jc w:val="both"/>
        <w:rPr>
          <w:sz w:val="21"/>
          <w:szCs w:val="21"/>
        </w:rPr>
      </w:pPr>
      <w:r>
        <w:rPr>
          <w:b/>
          <w:sz w:val="21"/>
          <w:szCs w:val="21"/>
        </w:rPr>
        <w:t>磋商</w:t>
      </w:r>
      <w:r>
        <w:rPr>
          <w:spacing w:val="-1"/>
          <w:sz w:val="21"/>
          <w:szCs w:val="21"/>
        </w:rPr>
        <w:t>。初审合格后，磋商小组将按响应文件提交顺序</w:t>
      </w:r>
      <w:r>
        <w:rPr>
          <w:sz w:val="21"/>
          <w:szCs w:val="21"/>
        </w:rPr>
        <w:t>集中与单一供应商分别进行磋商，并给予所有参加磋商的供应商平等的磋商机会，如供应商未到磋商现场的，视同放弃该权利。</w:t>
      </w:r>
    </w:p>
    <w:p>
      <w:pPr>
        <w:pStyle w:val="34"/>
        <w:numPr>
          <w:ilvl w:val="2"/>
          <w:numId w:val="10"/>
        </w:numPr>
        <w:tabs>
          <w:tab w:val="left" w:pos="1512"/>
        </w:tabs>
        <w:spacing w:line="360" w:lineRule="auto"/>
        <w:ind w:left="1511"/>
        <w:jc w:val="both"/>
        <w:rPr>
          <w:sz w:val="21"/>
          <w:szCs w:val="21"/>
        </w:rPr>
      </w:pPr>
      <w:r>
        <w:rPr>
          <w:b/>
          <w:sz w:val="21"/>
          <w:szCs w:val="21"/>
        </w:rPr>
        <w:t>报价</w:t>
      </w:r>
      <w:r>
        <w:rPr>
          <w:sz w:val="21"/>
          <w:szCs w:val="21"/>
        </w:rPr>
        <w:t>。磋商结束后，磋商小组应当要求所有实质性响应的供应商在规定时间内提交最后报价。</w:t>
      </w:r>
    </w:p>
    <w:p>
      <w:pPr>
        <w:pStyle w:val="34"/>
        <w:numPr>
          <w:ilvl w:val="2"/>
          <w:numId w:val="10"/>
        </w:numPr>
        <w:tabs>
          <w:tab w:val="left" w:pos="1512"/>
        </w:tabs>
        <w:spacing w:before="56" w:line="360" w:lineRule="auto"/>
        <w:ind w:right="370" w:firstLine="434"/>
        <w:jc w:val="both"/>
        <w:rPr>
          <w:sz w:val="21"/>
          <w:szCs w:val="21"/>
        </w:rPr>
      </w:pPr>
      <w:r>
        <w:rPr>
          <w:b/>
          <w:sz w:val="21"/>
          <w:szCs w:val="21"/>
        </w:rPr>
        <w:t>综合评分</w:t>
      </w:r>
      <w:r>
        <w:rPr>
          <w:spacing w:val="-1"/>
          <w:sz w:val="21"/>
          <w:szCs w:val="21"/>
        </w:rPr>
        <w:t>。磋商小组只对通过初审，实质上响应磋商文件要求的响</w:t>
      </w:r>
      <w:r>
        <w:rPr>
          <w:sz w:val="21"/>
          <w:szCs w:val="21"/>
        </w:rPr>
        <w:t>应文件进行综合评分。经磋商确定最终采购需求和提交最后报价的供应商后， 由磋商小组采用综合评分法对提交最后报价的供应商的响应文件和最后报价进行综合评分。</w:t>
      </w:r>
    </w:p>
    <w:p>
      <w:pPr>
        <w:pStyle w:val="34"/>
        <w:numPr>
          <w:ilvl w:val="1"/>
          <w:numId w:val="10"/>
        </w:numPr>
        <w:tabs>
          <w:tab w:val="left" w:pos="1210"/>
        </w:tabs>
        <w:spacing w:line="360" w:lineRule="auto"/>
        <w:ind w:left="1209" w:hanging="541"/>
        <w:jc w:val="both"/>
        <w:rPr>
          <w:sz w:val="21"/>
          <w:szCs w:val="21"/>
        </w:rPr>
      </w:pPr>
      <w:r>
        <w:rPr>
          <w:sz w:val="21"/>
          <w:szCs w:val="21"/>
        </w:rPr>
        <w:t>相关说明。</w:t>
      </w:r>
    </w:p>
    <w:p>
      <w:pPr>
        <w:pStyle w:val="34"/>
        <w:numPr>
          <w:ilvl w:val="2"/>
          <w:numId w:val="10"/>
        </w:numPr>
        <w:tabs>
          <w:tab w:val="left" w:pos="1433"/>
        </w:tabs>
        <w:spacing w:before="160" w:line="360" w:lineRule="auto"/>
        <w:ind w:left="1432" w:hanging="764"/>
        <w:jc w:val="both"/>
        <w:rPr>
          <w:sz w:val="21"/>
          <w:szCs w:val="21"/>
        </w:rPr>
      </w:pPr>
      <w:r>
        <w:rPr>
          <w:spacing w:val="-10"/>
          <w:sz w:val="21"/>
          <w:szCs w:val="21"/>
        </w:rPr>
        <w:t>为保证磋商活动顺利进行，供应商可派相关技术人员进行现场答疑；</w:t>
      </w:r>
    </w:p>
    <w:p>
      <w:pPr>
        <w:pStyle w:val="34"/>
        <w:numPr>
          <w:ilvl w:val="2"/>
          <w:numId w:val="10"/>
        </w:numPr>
        <w:tabs>
          <w:tab w:val="left" w:pos="1512"/>
        </w:tabs>
        <w:spacing w:before="159" w:line="360" w:lineRule="auto"/>
        <w:ind w:right="366" w:firstLine="434"/>
        <w:jc w:val="both"/>
        <w:rPr>
          <w:sz w:val="21"/>
          <w:szCs w:val="21"/>
        </w:rPr>
      </w:pPr>
      <w:r>
        <w:rPr>
          <w:sz w:val="21"/>
          <w:szCs w:val="21"/>
        </w:rPr>
        <w:t>磋商小组根据与供应商磋商情况可能实质性变动磋商文件的内容， 包括采购需求中的技术、服务要求以及合同草案条款。磋商文件有实质性变动的，经采购人代表确认作为磋商文件的有效组成部分，磋商小组将以书面形式通知所有参加磋商的供应商。</w:t>
      </w:r>
    </w:p>
    <w:p>
      <w:pPr>
        <w:pStyle w:val="34"/>
        <w:numPr>
          <w:ilvl w:val="2"/>
          <w:numId w:val="10"/>
        </w:numPr>
        <w:tabs>
          <w:tab w:val="left" w:pos="1512"/>
        </w:tabs>
        <w:spacing w:line="360" w:lineRule="auto"/>
        <w:ind w:right="373" w:firstLine="434"/>
        <w:jc w:val="both"/>
        <w:rPr>
          <w:sz w:val="21"/>
          <w:szCs w:val="21"/>
        </w:rPr>
      </w:pPr>
      <w:r>
        <w:rPr>
          <w:spacing w:val="-1"/>
          <w:sz w:val="21"/>
          <w:szCs w:val="21"/>
        </w:rPr>
        <w:t>磋商过程中，磋商小组发现供应商的报价或者某些分项报价明显不</w:t>
      </w:r>
      <w:r>
        <w:rPr>
          <w:sz w:val="21"/>
          <w:szCs w:val="21"/>
        </w:rPr>
        <w:t>合理或者低于成本，有可能影响商品质量和不能诚信履约的，应当要求其在规定的期限内提供书面文件予以解释说明，并提交相关证明材料；否则，磋商小组可以取消该供应商的成交候选资格，按顺序由排在后面的成交候选供应商递补，以此类推。</w:t>
      </w:r>
    </w:p>
    <w:p>
      <w:pPr>
        <w:pStyle w:val="34"/>
        <w:numPr>
          <w:ilvl w:val="2"/>
          <w:numId w:val="10"/>
        </w:numPr>
        <w:tabs>
          <w:tab w:val="left" w:pos="1512"/>
        </w:tabs>
        <w:spacing w:line="360" w:lineRule="auto"/>
        <w:ind w:right="367" w:firstLine="434"/>
        <w:jc w:val="both"/>
        <w:rPr>
          <w:sz w:val="21"/>
          <w:szCs w:val="21"/>
        </w:rPr>
      </w:pPr>
      <w:r>
        <w:rPr>
          <w:sz w:val="21"/>
          <w:szCs w:val="21"/>
        </w:rPr>
        <w:t>无论何种原因，即使供应商磋商时携带了证书材料的原件，但响应文件中未提供与之内容完全一致的扫描件或影印件的，磋商小组可以视同其未提供。</w:t>
      </w:r>
    </w:p>
    <w:p>
      <w:pPr>
        <w:pStyle w:val="34"/>
        <w:numPr>
          <w:ilvl w:val="2"/>
          <w:numId w:val="10"/>
        </w:numPr>
        <w:tabs>
          <w:tab w:val="left" w:pos="1512"/>
        </w:tabs>
        <w:spacing w:line="360" w:lineRule="auto"/>
        <w:ind w:right="373" w:firstLine="434"/>
        <w:jc w:val="both"/>
        <w:rPr>
          <w:sz w:val="21"/>
          <w:szCs w:val="21"/>
        </w:rPr>
      </w:pPr>
      <w:r>
        <w:rPr>
          <w:spacing w:val="-1"/>
          <w:sz w:val="21"/>
          <w:szCs w:val="21"/>
        </w:rPr>
        <w:t>磋商小组决定响应文件的响应性及符合性只根据响应文件本身的内</w:t>
      </w:r>
      <w:r>
        <w:rPr>
          <w:sz w:val="21"/>
          <w:szCs w:val="21"/>
        </w:rPr>
        <w:t>容，而不寻求其他外部证据。</w:t>
      </w:r>
    </w:p>
    <w:p>
      <w:pPr>
        <w:pStyle w:val="34"/>
        <w:numPr>
          <w:ilvl w:val="1"/>
          <w:numId w:val="10"/>
        </w:numPr>
        <w:tabs>
          <w:tab w:val="left" w:pos="1272"/>
        </w:tabs>
        <w:spacing w:before="1" w:line="360" w:lineRule="auto"/>
        <w:ind w:left="234" w:right="366" w:firstLine="434"/>
        <w:jc w:val="both"/>
        <w:rPr>
          <w:sz w:val="21"/>
          <w:szCs w:val="21"/>
        </w:rPr>
      </w:pPr>
      <w:r>
        <w:rPr>
          <w:sz w:val="21"/>
          <w:szCs w:val="21"/>
        </w:rPr>
        <w:t>供应商授权代表对磋商过程有疑义，以及认为采购人、采购代理机构相关工作人员有需要回避的情形的，应当场提出询问或者回避申请，并说明理由。</w:t>
      </w:r>
    </w:p>
    <w:p>
      <w:pPr>
        <w:pStyle w:val="6"/>
        <w:numPr>
          <w:ilvl w:val="0"/>
          <w:numId w:val="10"/>
        </w:numPr>
      </w:pPr>
      <w:r>
        <w:t>终止竞争性磋商</w:t>
      </w:r>
    </w:p>
    <w:p>
      <w:pPr>
        <w:pStyle w:val="34"/>
        <w:numPr>
          <w:ilvl w:val="1"/>
          <w:numId w:val="10"/>
        </w:numPr>
        <w:tabs>
          <w:tab w:val="left" w:pos="1272"/>
        </w:tabs>
        <w:spacing w:before="161" w:line="360" w:lineRule="auto"/>
        <w:ind w:left="234" w:right="370" w:firstLine="434"/>
        <w:rPr>
          <w:sz w:val="21"/>
          <w:szCs w:val="21"/>
        </w:rPr>
      </w:pPr>
      <w:r>
        <w:rPr>
          <w:spacing w:val="-1"/>
          <w:sz w:val="21"/>
          <w:szCs w:val="21"/>
        </w:rPr>
        <w:t>出现下列情况之一时，采购人和采购代理机构有权宣布终止竞争性磋</w:t>
      </w:r>
      <w:r>
        <w:rPr>
          <w:sz w:val="21"/>
          <w:szCs w:val="21"/>
        </w:rPr>
        <w:t>商采购，并将理由通知所有供应商：</w:t>
      </w:r>
    </w:p>
    <w:p>
      <w:pPr>
        <w:pStyle w:val="34"/>
        <w:numPr>
          <w:ilvl w:val="0"/>
          <w:numId w:val="11"/>
        </w:numPr>
        <w:tabs>
          <w:tab w:val="left" w:pos="1271"/>
        </w:tabs>
        <w:spacing w:before="5" w:line="360" w:lineRule="auto"/>
        <w:ind w:hanging="602"/>
        <w:rPr>
          <w:sz w:val="21"/>
          <w:szCs w:val="21"/>
        </w:rPr>
      </w:pPr>
      <w:r>
        <w:rPr>
          <w:sz w:val="21"/>
          <w:szCs w:val="21"/>
        </w:rPr>
        <w:t>有效供应商数量不足，导致本次磋商缺乏竞争的；</w:t>
      </w:r>
    </w:p>
    <w:p>
      <w:pPr>
        <w:pStyle w:val="34"/>
        <w:numPr>
          <w:ilvl w:val="0"/>
          <w:numId w:val="11"/>
        </w:numPr>
        <w:tabs>
          <w:tab w:val="left" w:pos="1271"/>
        </w:tabs>
        <w:spacing w:before="161" w:line="360" w:lineRule="auto"/>
        <w:ind w:hanging="602"/>
        <w:rPr>
          <w:sz w:val="21"/>
          <w:szCs w:val="21"/>
        </w:rPr>
      </w:pPr>
      <w:r>
        <w:rPr>
          <w:sz w:val="21"/>
          <w:szCs w:val="21"/>
        </w:rPr>
        <w:t>出现影响采购公正的违法、违规行为的；</w:t>
      </w:r>
    </w:p>
    <w:p>
      <w:pPr>
        <w:pStyle w:val="34"/>
        <w:numPr>
          <w:ilvl w:val="0"/>
          <w:numId w:val="11"/>
        </w:numPr>
        <w:tabs>
          <w:tab w:val="left" w:pos="1271"/>
        </w:tabs>
        <w:spacing w:before="158" w:line="360" w:lineRule="auto"/>
        <w:ind w:hanging="602"/>
        <w:rPr>
          <w:sz w:val="21"/>
          <w:szCs w:val="21"/>
        </w:rPr>
      </w:pPr>
      <w:r>
        <w:rPr>
          <w:sz w:val="21"/>
          <w:szCs w:val="21"/>
        </w:rPr>
        <w:t>因重大变故，采购任务取消的；</w:t>
      </w:r>
    </w:p>
    <w:p>
      <w:pPr>
        <w:pStyle w:val="34"/>
        <w:numPr>
          <w:ilvl w:val="0"/>
          <w:numId w:val="11"/>
        </w:numPr>
        <w:tabs>
          <w:tab w:val="left" w:pos="1271"/>
        </w:tabs>
        <w:spacing w:before="160" w:line="360" w:lineRule="auto"/>
        <w:ind w:hanging="602"/>
        <w:rPr>
          <w:sz w:val="21"/>
          <w:szCs w:val="21"/>
        </w:rPr>
      </w:pPr>
      <w:r>
        <w:rPr>
          <w:sz w:val="21"/>
          <w:szCs w:val="21"/>
        </w:rPr>
        <w:t>法律法规规定的其他情形。</w:t>
      </w:r>
    </w:p>
    <w:p>
      <w:pPr>
        <w:pStyle w:val="6"/>
        <w:numPr>
          <w:ilvl w:val="0"/>
          <w:numId w:val="10"/>
        </w:numPr>
      </w:pPr>
      <w:r>
        <w:t>响应文件的澄清、说明或更正</w:t>
      </w:r>
    </w:p>
    <w:p>
      <w:pPr>
        <w:pStyle w:val="34"/>
        <w:numPr>
          <w:ilvl w:val="1"/>
          <w:numId w:val="10"/>
        </w:numPr>
        <w:tabs>
          <w:tab w:val="left" w:pos="1306"/>
        </w:tabs>
        <w:spacing w:before="160" w:line="360" w:lineRule="auto"/>
        <w:ind w:left="234" w:right="372" w:firstLine="470"/>
        <w:jc w:val="both"/>
        <w:rPr>
          <w:sz w:val="21"/>
          <w:szCs w:val="21"/>
        </w:rPr>
      </w:pPr>
      <w:r>
        <w:rPr>
          <w:spacing w:val="-1"/>
          <w:sz w:val="21"/>
          <w:szCs w:val="21"/>
        </w:rPr>
        <w:t>磋商小组将对响应文件的有效性、完整性和响应程度进行审查，审查</w:t>
      </w:r>
      <w:r>
        <w:rPr>
          <w:sz w:val="21"/>
          <w:szCs w:val="21"/>
        </w:rPr>
        <w:t>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pPr>
        <w:pStyle w:val="34"/>
        <w:numPr>
          <w:ilvl w:val="1"/>
          <w:numId w:val="10"/>
        </w:numPr>
        <w:tabs>
          <w:tab w:val="left" w:pos="1246"/>
        </w:tabs>
        <w:spacing w:line="360" w:lineRule="auto"/>
        <w:ind w:left="234" w:right="373" w:firstLine="470"/>
        <w:jc w:val="both"/>
        <w:rPr>
          <w:sz w:val="21"/>
          <w:szCs w:val="21"/>
        </w:rPr>
      </w:pPr>
      <w:r>
        <w:rPr>
          <w:spacing w:val="-11"/>
          <w:sz w:val="21"/>
          <w:szCs w:val="21"/>
        </w:rPr>
        <w:t>磋商小组要求供应商澄清、说明或者更正响应文件应当以书面形式</w:t>
      </w:r>
      <w:r>
        <w:rPr>
          <w:sz w:val="21"/>
          <w:szCs w:val="21"/>
        </w:rPr>
        <w:t>（</w:t>
      </w:r>
      <w:r>
        <w:rPr>
          <w:spacing w:val="-17"/>
          <w:sz w:val="21"/>
          <w:szCs w:val="21"/>
        </w:rPr>
        <w:t>询</w:t>
      </w:r>
      <w:r>
        <w:rPr>
          <w:spacing w:val="4"/>
          <w:sz w:val="21"/>
          <w:szCs w:val="21"/>
        </w:rPr>
        <w:t>标）</w:t>
      </w:r>
      <w:r>
        <w:rPr>
          <w:sz w:val="21"/>
          <w:szCs w:val="21"/>
        </w:rPr>
        <w:t>作出。供应商的澄清、说明或者更正应当由法定代表人或其授权代表签字或者加盖公章。</w:t>
      </w:r>
    </w:p>
    <w:p>
      <w:pPr>
        <w:pStyle w:val="6"/>
        <w:numPr>
          <w:ilvl w:val="0"/>
          <w:numId w:val="10"/>
        </w:numPr>
      </w:pPr>
      <w:r>
        <w:t>最后报价</w:t>
      </w:r>
    </w:p>
    <w:p>
      <w:pPr>
        <w:pStyle w:val="34"/>
        <w:numPr>
          <w:ilvl w:val="1"/>
          <w:numId w:val="10"/>
        </w:numPr>
        <w:tabs>
          <w:tab w:val="left" w:pos="1272"/>
        </w:tabs>
        <w:spacing w:before="157" w:line="360" w:lineRule="auto"/>
        <w:ind w:left="234" w:right="373" w:firstLine="434"/>
        <w:rPr>
          <w:sz w:val="21"/>
          <w:szCs w:val="21"/>
        </w:rPr>
      </w:pPr>
      <w:r>
        <w:rPr>
          <w:spacing w:val="-1"/>
          <w:sz w:val="21"/>
          <w:szCs w:val="21"/>
        </w:rPr>
        <w:t>磋商并不限定只进行二轮报价，如果磋商小组认为有必要，可以要求</w:t>
      </w:r>
      <w:r>
        <w:rPr>
          <w:sz w:val="21"/>
          <w:szCs w:val="21"/>
        </w:rPr>
        <w:t>供应商进行多轮报价。</w:t>
      </w:r>
    </w:p>
    <w:p>
      <w:pPr>
        <w:pStyle w:val="34"/>
        <w:numPr>
          <w:ilvl w:val="1"/>
          <w:numId w:val="10"/>
        </w:numPr>
        <w:tabs>
          <w:tab w:val="left" w:pos="1272"/>
        </w:tabs>
        <w:spacing w:before="5" w:line="360" w:lineRule="auto"/>
        <w:ind w:left="234" w:right="373" w:firstLine="434"/>
        <w:rPr>
          <w:sz w:val="21"/>
          <w:szCs w:val="21"/>
        </w:rPr>
      </w:pPr>
      <w:r>
        <w:rPr>
          <w:spacing w:val="-1"/>
          <w:sz w:val="21"/>
          <w:szCs w:val="21"/>
        </w:rPr>
        <w:t>在磋商内容不做实质性变更或重大调整的前提下，供应商下轮报价不</w:t>
      </w:r>
      <w:r>
        <w:rPr>
          <w:sz w:val="21"/>
          <w:szCs w:val="21"/>
        </w:rPr>
        <w:t>得高于上一轮报价。</w:t>
      </w:r>
    </w:p>
    <w:p>
      <w:pPr>
        <w:pStyle w:val="34"/>
        <w:numPr>
          <w:ilvl w:val="1"/>
          <w:numId w:val="10"/>
        </w:numPr>
        <w:tabs>
          <w:tab w:val="left" w:pos="1272"/>
        </w:tabs>
        <w:spacing w:before="5" w:line="360" w:lineRule="auto"/>
        <w:ind w:left="234" w:right="373" w:firstLine="434"/>
        <w:rPr>
          <w:sz w:val="21"/>
          <w:szCs w:val="21"/>
        </w:rPr>
      </w:pPr>
      <w:r>
        <w:rPr>
          <w:spacing w:val="-1"/>
          <w:sz w:val="21"/>
          <w:szCs w:val="21"/>
        </w:rPr>
        <w:t>最后报价是供应商响应文件的有效组成部分，最后报价也是签订合同</w:t>
      </w:r>
      <w:r>
        <w:rPr>
          <w:sz w:val="21"/>
          <w:szCs w:val="21"/>
        </w:rPr>
        <w:t>的依据。</w:t>
      </w:r>
    </w:p>
    <w:p>
      <w:pPr>
        <w:pStyle w:val="6"/>
        <w:numPr>
          <w:ilvl w:val="0"/>
          <w:numId w:val="10"/>
        </w:numPr>
      </w:pPr>
      <w:r>
        <w:t>成交候选供应商的推荐原则及标准</w:t>
      </w:r>
    </w:p>
    <w:p>
      <w:pPr>
        <w:pStyle w:val="34"/>
        <w:numPr>
          <w:ilvl w:val="1"/>
          <w:numId w:val="10"/>
        </w:numPr>
        <w:tabs>
          <w:tab w:val="left" w:pos="1272"/>
        </w:tabs>
        <w:spacing w:before="158" w:line="360" w:lineRule="auto"/>
        <w:ind w:left="234" w:right="368" w:firstLine="434"/>
        <w:jc w:val="both"/>
        <w:rPr>
          <w:sz w:val="21"/>
          <w:szCs w:val="21"/>
        </w:rPr>
      </w:pPr>
      <w:r>
        <w:rPr>
          <w:spacing w:val="-1"/>
          <w:sz w:val="21"/>
          <w:szCs w:val="21"/>
        </w:rPr>
        <w:t>磋商小组依据本项目磋商文件所约定的评审方法和标准，按照有效供</w:t>
      </w:r>
      <w:r>
        <w:rPr>
          <w:sz w:val="21"/>
          <w:szCs w:val="21"/>
        </w:rPr>
        <w:t>应商综合总得分由高到低依次推荐成交候选供应商。综合总得分出现两家或两家以上相同者，按最后报价由低到高排序推荐成交候选供应商；综合总得分且最后报价均相同的，</w:t>
      </w:r>
      <w:r>
        <w:rPr>
          <w:rFonts w:hint="eastAsia"/>
          <w:sz w:val="21"/>
          <w:szCs w:val="21"/>
          <w:lang w:val="en-US"/>
        </w:rPr>
        <w:t>由磋商小组在采购人监督下采取</w:t>
      </w:r>
      <w:r>
        <w:rPr>
          <w:rFonts w:hint="eastAsia"/>
          <w:sz w:val="21"/>
          <w:szCs w:val="21"/>
        </w:rPr>
        <w:t>抽签方式确定</w:t>
      </w:r>
      <w:r>
        <w:rPr>
          <w:rFonts w:hint="eastAsia"/>
          <w:sz w:val="21"/>
          <w:szCs w:val="21"/>
          <w:lang w:val="en-US"/>
        </w:rPr>
        <w:t>成交</w:t>
      </w:r>
      <w:r>
        <w:rPr>
          <w:rFonts w:hint="eastAsia"/>
          <w:sz w:val="21"/>
          <w:szCs w:val="21"/>
        </w:rPr>
        <w:t>候选顺序</w:t>
      </w:r>
      <w:r>
        <w:rPr>
          <w:sz w:val="21"/>
          <w:szCs w:val="21"/>
        </w:rPr>
        <w:t>。</w:t>
      </w:r>
    </w:p>
    <w:p>
      <w:pPr>
        <w:pStyle w:val="6"/>
        <w:numPr>
          <w:ilvl w:val="0"/>
          <w:numId w:val="10"/>
        </w:numPr>
      </w:pPr>
      <w:r>
        <w:t>确定成交候选供应商和成交供应商</w:t>
      </w:r>
    </w:p>
    <w:p>
      <w:pPr>
        <w:pStyle w:val="34"/>
        <w:numPr>
          <w:ilvl w:val="1"/>
          <w:numId w:val="10"/>
        </w:numPr>
        <w:tabs>
          <w:tab w:val="left" w:pos="1306"/>
        </w:tabs>
        <w:spacing w:before="161" w:line="360" w:lineRule="auto"/>
        <w:ind w:left="234" w:right="366" w:firstLine="470"/>
        <w:jc w:val="both"/>
        <w:rPr>
          <w:sz w:val="21"/>
          <w:szCs w:val="21"/>
        </w:rPr>
      </w:pPr>
      <w:r>
        <w:rPr>
          <w:sz w:val="21"/>
          <w:szCs w:val="21"/>
        </w:rPr>
        <w:t>磋商小组根据综合评分的结果和供应商须知前附表中规定确定成交候选供应商，并标明排列顺序。</w:t>
      </w:r>
      <w:r>
        <w:rPr>
          <w:rFonts w:hint="eastAsia"/>
          <w:sz w:val="21"/>
          <w:szCs w:val="21"/>
          <w:lang w:val="en-US"/>
        </w:rPr>
        <w:t>采购人</w:t>
      </w:r>
      <w:r>
        <w:rPr>
          <w:rFonts w:hint="eastAsia"/>
          <w:sz w:val="21"/>
          <w:szCs w:val="21"/>
        </w:rPr>
        <w:t>根据</w:t>
      </w:r>
      <w:r>
        <w:rPr>
          <w:rFonts w:hint="eastAsia"/>
          <w:sz w:val="21"/>
          <w:szCs w:val="21"/>
          <w:lang w:val="en-US"/>
        </w:rPr>
        <w:t>磋商小组推荐成交</w:t>
      </w:r>
      <w:r>
        <w:rPr>
          <w:rFonts w:hint="eastAsia"/>
          <w:sz w:val="21"/>
          <w:szCs w:val="21"/>
        </w:rPr>
        <w:t>候选人顺序依次确定</w:t>
      </w:r>
      <w:r>
        <w:rPr>
          <w:sz w:val="21"/>
          <w:szCs w:val="21"/>
        </w:rPr>
        <w:t>2</w:t>
      </w:r>
      <w:r>
        <w:rPr>
          <w:rFonts w:hint="eastAsia"/>
          <w:sz w:val="21"/>
          <w:szCs w:val="21"/>
        </w:rPr>
        <w:t>家</w:t>
      </w:r>
      <w:r>
        <w:rPr>
          <w:rFonts w:hint="eastAsia"/>
          <w:sz w:val="21"/>
          <w:szCs w:val="21"/>
          <w:lang w:val="en-US"/>
        </w:rPr>
        <w:t>成交</w:t>
      </w:r>
      <w:r>
        <w:rPr>
          <w:rFonts w:hint="eastAsia"/>
          <w:sz w:val="21"/>
          <w:szCs w:val="21"/>
        </w:rPr>
        <w:t>单位，</w:t>
      </w:r>
      <w:r>
        <w:rPr>
          <w:sz w:val="21"/>
          <w:szCs w:val="21"/>
        </w:rPr>
        <w:t>确定为成交供应商后，由采购代理机构在指定媒体上予以公告。</w:t>
      </w:r>
    </w:p>
    <w:p>
      <w:pPr>
        <w:pStyle w:val="6"/>
        <w:numPr>
          <w:ilvl w:val="0"/>
          <w:numId w:val="10"/>
        </w:numPr>
      </w:pPr>
      <w:r>
        <w:t>编写评审报告</w:t>
      </w:r>
    </w:p>
    <w:p>
      <w:pPr>
        <w:pStyle w:val="34"/>
        <w:numPr>
          <w:ilvl w:val="1"/>
          <w:numId w:val="10"/>
        </w:numPr>
        <w:tabs>
          <w:tab w:val="left" w:pos="1272"/>
        </w:tabs>
        <w:spacing w:before="158" w:line="360" w:lineRule="auto"/>
        <w:ind w:left="234" w:right="360" w:firstLine="434"/>
        <w:jc w:val="both"/>
        <w:rPr>
          <w:sz w:val="21"/>
          <w:szCs w:val="21"/>
        </w:rPr>
      </w:pPr>
      <w:r>
        <w:rPr>
          <w:sz w:val="21"/>
          <w:szCs w:val="21"/>
        </w:rPr>
        <w:t>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pPr>
        <w:pStyle w:val="6"/>
        <w:numPr>
          <w:ilvl w:val="0"/>
          <w:numId w:val="10"/>
        </w:numPr>
      </w:pPr>
      <w:r>
        <w:t>保密要求</w:t>
      </w:r>
    </w:p>
    <w:p>
      <w:pPr>
        <w:pStyle w:val="34"/>
        <w:numPr>
          <w:ilvl w:val="1"/>
          <w:numId w:val="10"/>
        </w:numPr>
        <w:tabs>
          <w:tab w:val="left" w:pos="1210"/>
        </w:tabs>
        <w:spacing w:before="161" w:line="360" w:lineRule="auto"/>
        <w:ind w:left="1209" w:hanging="541"/>
        <w:rPr>
          <w:sz w:val="21"/>
          <w:szCs w:val="21"/>
        </w:rPr>
      </w:pPr>
      <w:r>
        <w:rPr>
          <w:sz w:val="21"/>
          <w:szCs w:val="21"/>
        </w:rPr>
        <w:t>评审将在严格保密的情况下进行。</w:t>
      </w:r>
    </w:p>
    <w:p>
      <w:pPr>
        <w:pStyle w:val="34"/>
        <w:numPr>
          <w:ilvl w:val="1"/>
          <w:numId w:val="10"/>
        </w:numPr>
        <w:tabs>
          <w:tab w:val="left" w:pos="1272"/>
        </w:tabs>
        <w:spacing w:before="158" w:line="360" w:lineRule="auto"/>
        <w:ind w:left="234" w:right="368" w:firstLine="434"/>
        <w:rPr>
          <w:sz w:val="21"/>
          <w:szCs w:val="21"/>
        </w:rPr>
      </w:pPr>
      <w:r>
        <w:rPr>
          <w:sz w:val="21"/>
          <w:szCs w:val="21"/>
        </w:rPr>
        <w:t>有关人员应当遵守评审工作纪律，不得泄露评审文件、评审情况和评审中获悉的国家秘密、商业秘密。</w:t>
      </w:r>
    </w:p>
    <w:p>
      <w:pPr>
        <w:pStyle w:val="6"/>
        <w:numPr>
          <w:ilvl w:val="0"/>
          <w:numId w:val="10"/>
        </w:numPr>
      </w:pPr>
      <w:r>
        <w:t>成交结果公告</w:t>
      </w:r>
    </w:p>
    <w:p>
      <w:pPr>
        <w:pStyle w:val="34"/>
        <w:numPr>
          <w:ilvl w:val="1"/>
          <w:numId w:val="10"/>
        </w:numPr>
        <w:tabs>
          <w:tab w:val="left" w:pos="1272"/>
        </w:tabs>
        <w:spacing w:before="158" w:line="360" w:lineRule="auto"/>
        <w:ind w:left="234" w:right="368" w:firstLine="434"/>
        <w:rPr>
          <w:sz w:val="21"/>
          <w:szCs w:val="21"/>
          <w:lang w:val="en-US"/>
        </w:rPr>
      </w:pPr>
      <w:r>
        <w:rPr>
          <w:sz w:val="21"/>
          <w:szCs w:val="21"/>
        </w:rPr>
        <w:t>为体现</w:t>
      </w:r>
      <w:r>
        <w:rPr>
          <w:sz w:val="21"/>
          <w:szCs w:val="21"/>
          <w:lang w:val="en-US"/>
        </w:rPr>
        <w:t>“</w:t>
      </w:r>
      <w:r>
        <w:rPr>
          <w:sz w:val="21"/>
          <w:szCs w:val="21"/>
        </w:rPr>
        <w:t>公开、公平、公正</w:t>
      </w:r>
      <w:r>
        <w:rPr>
          <w:sz w:val="21"/>
          <w:szCs w:val="21"/>
          <w:lang w:val="en-US"/>
        </w:rPr>
        <w:t>”</w:t>
      </w:r>
      <w:r>
        <w:rPr>
          <w:sz w:val="21"/>
          <w:szCs w:val="21"/>
        </w:rPr>
        <w:t>的原则</w:t>
      </w:r>
      <w:r>
        <w:rPr>
          <w:sz w:val="21"/>
          <w:szCs w:val="21"/>
          <w:lang w:val="en-US"/>
        </w:rPr>
        <w:t>，</w:t>
      </w:r>
      <w:r>
        <w:rPr>
          <w:sz w:val="21"/>
          <w:szCs w:val="21"/>
        </w:rPr>
        <w:t>磋商结束后</w:t>
      </w:r>
      <w:r>
        <w:rPr>
          <w:sz w:val="21"/>
          <w:szCs w:val="21"/>
          <w:lang w:val="en-US"/>
        </w:rPr>
        <w:t>，</w:t>
      </w:r>
      <w:r>
        <w:rPr>
          <w:sz w:val="21"/>
          <w:szCs w:val="21"/>
        </w:rPr>
        <w:t>采购代理机构将在</w:t>
      </w:r>
      <w:r>
        <w:rPr>
          <w:rFonts w:hint="eastAsia"/>
          <w:sz w:val="21"/>
          <w:szCs w:val="21"/>
          <w:lang w:eastAsia="zh-CN"/>
        </w:rPr>
        <w:t>《界首市人民政府网》《农业全程网》</w:t>
      </w:r>
      <w:r>
        <w:rPr>
          <w:sz w:val="21"/>
          <w:szCs w:val="21"/>
        </w:rPr>
        <w:t>上发布成交结果公告。</w:t>
      </w:r>
    </w:p>
    <w:p>
      <w:pPr>
        <w:pStyle w:val="34"/>
        <w:numPr>
          <w:ilvl w:val="1"/>
          <w:numId w:val="10"/>
        </w:numPr>
        <w:tabs>
          <w:tab w:val="left" w:pos="1272"/>
        </w:tabs>
        <w:spacing w:before="56" w:line="360" w:lineRule="auto"/>
        <w:ind w:left="234" w:right="369" w:firstLine="434"/>
        <w:rPr>
          <w:sz w:val="21"/>
          <w:szCs w:val="21"/>
        </w:rPr>
      </w:pPr>
      <w:r>
        <w:rPr>
          <w:spacing w:val="-1"/>
          <w:sz w:val="21"/>
          <w:szCs w:val="21"/>
        </w:rPr>
        <w:t>成交结果公告内容应当包括采购人及其委托的采购代理机构的名称、</w:t>
      </w:r>
      <w:r>
        <w:rPr>
          <w:sz w:val="21"/>
          <w:szCs w:val="21"/>
        </w:rPr>
        <w:t>地址、联系方式，项目名称和项目编号，成交供应商名称、地址和成交金额，主要成交标的的名称、规格型号、数量、单价、服务要求，成交结果公告期限、评审专家名单以及供应商须知前附表中约定进行公告的内容。</w:t>
      </w:r>
    </w:p>
    <w:p>
      <w:pPr>
        <w:pStyle w:val="34"/>
        <w:tabs>
          <w:tab w:val="left" w:pos="1272"/>
        </w:tabs>
        <w:spacing w:before="158" w:line="360" w:lineRule="auto"/>
        <w:ind w:left="668" w:right="368" w:firstLine="0"/>
        <w:rPr>
          <w:b/>
          <w:sz w:val="21"/>
          <w:szCs w:val="21"/>
        </w:rPr>
      </w:pPr>
      <w:r>
        <w:rPr>
          <w:rFonts w:hint="eastAsia"/>
          <w:b/>
          <w:sz w:val="21"/>
          <w:szCs w:val="21"/>
        </w:rPr>
        <w:t>注：</w:t>
      </w:r>
    </w:p>
    <w:p>
      <w:pPr>
        <w:pStyle w:val="34"/>
        <w:tabs>
          <w:tab w:val="left" w:pos="1272"/>
        </w:tabs>
        <w:spacing w:before="158" w:line="360" w:lineRule="auto"/>
        <w:ind w:left="232" w:right="369" w:firstLine="161" w:firstLineChars="77"/>
        <w:rPr>
          <w:sz w:val="21"/>
          <w:szCs w:val="21"/>
        </w:rPr>
      </w:pPr>
      <w:r>
        <w:rPr>
          <w:rFonts w:hint="eastAsia"/>
          <w:sz w:val="21"/>
          <w:szCs w:val="21"/>
        </w:rPr>
        <w:t>1、采购人定标前对成交候选人进行信用查询，如成交候选人存在不良信用记录，采购人应取消成交候选人资格，并按规定予以处理。</w:t>
      </w:r>
    </w:p>
    <w:p>
      <w:pPr>
        <w:pStyle w:val="34"/>
        <w:tabs>
          <w:tab w:val="left" w:pos="1272"/>
        </w:tabs>
        <w:spacing w:before="158" w:line="360" w:lineRule="auto"/>
        <w:ind w:left="232" w:right="369" w:firstLine="161" w:firstLineChars="77"/>
        <w:rPr>
          <w:sz w:val="21"/>
          <w:szCs w:val="21"/>
        </w:rPr>
      </w:pPr>
      <w:r>
        <w:rPr>
          <w:rFonts w:hint="eastAsia"/>
          <w:sz w:val="21"/>
          <w:szCs w:val="21"/>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采购监管部门列入采购严重违法失信行为记录名单，以及存在《中华人民共和国采购法实施条例》第十九条规定的行政处罚记录。</w:t>
      </w:r>
    </w:p>
    <w:p>
      <w:pPr>
        <w:pStyle w:val="34"/>
        <w:tabs>
          <w:tab w:val="left" w:pos="1272"/>
        </w:tabs>
        <w:spacing w:before="158" w:line="360" w:lineRule="auto"/>
        <w:ind w:left="232" w:right="369" w:firstLine="161" w:firstLineChars="77"/>
        <w:rPr>
          <w:sz w:val="21"/>
          <w:szCs w:val="21"/>
        </w:rPr>
      </w:pPr>
      <w:r>
        <w:rPr>
          <w:rFonts w:hint="eastAsia"/>
          <w:sz w:val="21"/>
          <w:szCs w:val="21"/>
        </w:rPr>
        <w:t>3、以联合体形式参加磋商的，联合体任何成员存在以上不良信用记录的，不得确定为成交供应商。</w:t>
      </w:r>
    </w:p>
    <w:p>
      <w:pPr>
        <w:pStyle w:val="34"/>
        <w:tabs>
          <w:tab w:val="left" w:pos="1272"/>
        </w:tabs>
        <w:spacing w:before="158" w:line="360" w:lineRule="auto"/>
        <w:ind w:left="232" w:right="369" w:firstLine="161" w:firstLineChars="77"/>
        <w:rPr>
          <w:sz w:val="21"/>
          <w:szCs w:val="21"/>
        </w:rPr>
      </w:pPr>
      <w:r>
        <w:rPr>
          <w:rFonts w:hint="eastAsia"/>
          <w:sz w:val="21"/>
          <w:szCs w:val="21"/>
        </w:rPr>
        <w:t>4、信用信息查询渠道：</w:t>
      </w:r>
      <w:r>
        <w:rPr>
          <w:rFonts w:hint="eastAsia"/>
          <w:sz w:val="21"/>
          <w:szCs w:val="21"/>
          <w:lang w:eastAsia="zh-CN"/>
        </w:rPr>
        <w:t>《</w:t>
      </w:r>
      <w:r>
        <w:rPr>
          <w:rFonts w:hint="eastAsia"/>
          <w:sz w:val="21"/>
          <w:szCs w:val="21"/>
          <w:lang w:val="en-US" w:eastAsia="zh-CN"/>
        </w:rPr>
        <w:t>中国政府采购网</w:t>
      </w:r>
      <w:r>
        <w:rPr>
          <w:rFonts w:hint="eastAsia"/>
          <w:sz w:val="21"/>
          <w:szCs w:val="21"/>
          <w:lang w:eastAsia="zh-CN"/>
        </w:rPr>
        <w:t>》</w:t>
      </w:r>
      <w:r>
        <w:rPr>
          <w:rFonts w:hint="eastAsia"/>
          <w:sz w:val="21"/>
          <w:szCs w:val="21"/>
        </w:rPr>
        <w:t xml:space="preserve">（www.ccgp.gov.cn）、“信用中国”网站（www.creditchina.gov.cn）。 </w:t>
      </w:r>
    </w:p>
    <w:p>
      <w:pPr>
        <w:pStyle w:val="6"/>
        <w:numPr>
          <w:ilvl w:val="0"/>
          <w:numId w:val="10"/>
        </w:numPr>
      </w:pPr>
      <w:r>
        <w:t>成交通知书</w:t>
      </w:r>
    </w:p>
    <w:p>
      <w:pPr>
        <w:pStyle w:val="34"/>
        <w:numPr>
          <w:ilvl w:val="1"/>
          <w:numId w:val="10"/>
        </w:numPr>
        <w:tabs>
          <w:tab w:val="left" w:pos="1272"/>
        </w:tabs>
        <w:spacing w:before="160" w:line="360" w:lineRule="auto"/>
        <w:ind w:left="234" w:right="368" w:firstLine="434"/>
        <w:jc w:val="both"/>
        <w:rPr>
          <w:sz w:val="21"/>
          <w:szCs w:val="21"/>
        </w:rPr>
      </w:pPr>
      <w:r>
        <w:rPr>
          <w:sz w:val="21"/>
          <w:szCs w:val="21"/>
        </w:rPr>
        <w:t>采购代理机构发布成交结果公告的同时以</w:t>
      </w:r>
      <w:r>
        <w:rPr>
          <w:sz w:val="21"/>
          <w:szCs w:val="21"/>
          <w:u w:val="single"/>
        </w:rPr>
        <w:t>供应商须知前附表</w:t>
      </w:r>
      <w:r>
        <w:rPr>
          <w:spacing w:val="-3"/>
          <w:sz w:val="21"/>
          <w:szCs w:val="21"/>
        </w:rPr>
        <w:t>规定的形</w:t>
      </w:r>
      <w:r>
        <w:rPr>
          <w:sz w:val="21"/>
          <w:szCs w:val="21"/>
        </w:rPr>
        <w:t>式向成交供应商发出成交通知书。</w:t>
      </w:r>
    </w:p>
    <w:p>
      <w:pPr>
        <w:pStyle w:val="34"/>
        <w:numPr>
          <w:ilvl w:val="1"/>
          <w:numId w:val="10"/>
        </w:numPr>
        <w:tabs>
          <w:tab w:val="left" w:pos="1272"/>
        </w:tabs>
        <w:spacing w:before="5" w:line="360" w:lineRule="auto"/>
        <w:ind w:left="234" w:right="373" w:firstLine="434"/>
        <w:jc w:val="both"/>
        <w:rPr>
          <w:sz w:val="21"/>
          <w:szCs w:val="21"/>
        </w:rPr>
      </w:pPr>
      <w:r>
        <w:rPr>
          <w:spacing w:val="-1"/>
          <w:sz w:val="21"/>
          <w:szCs w:val="21"/>
        </w:rPr>
        <w:t>成交通知书对采购人和成交供应商具有同等法律效力。成交通知书发</w:t>
      </w:r>
      <w:r>
        <w:rPr>
          <w:sz w:val="21"/>
          <w:szCs w:val="21"/>
        </w:rPr>
        <w:t>出以后，采购人改变成交结果或者成交供应商放弃成交资格，应当承担相应的法律责任。</w:t>
      </w:r>
    </w:p>
    <w:p>
      <w:pPr>
        <w:pStyle w:val="34"/>
        <w:tabs>
          <w:tab w:val="left" w:pos="1210"/>
        </w:tabs>
        <w:spacing w:line="360" w:lineRule="auto"/>
        <w:ind w:left="671" w:right="4315" w:firstLine="0"/>
        <w:rPr>
          <w:spacing w:val="-2"/>
          <w:sz w:val="21"/>
          <w:szCs w:val="21"/>
        </w:rPr>
      </w:pPr>
      <w:r>
        <w:rPr>
          <w:rFonts w:hint="eastAsia"/>
          <w:spacing w:val="-2"/>
          <w:sz w:val="21"/>
          <w:szCs w:val="21"/>
        </w:rPr>
        <w:t xml:space="preserve">28.3 </w:t>
      </w:r>
      <w:r>
        <w:rPr>
          <w:spacing w:val="-2"/>
          <w:sz w:val="21"/>
          <w:szCs w:val="21"/>
        </w:rPr>
        <w:t>成交通知书是合同的组成部分。</w:t>
      </w:r>
    </w:p>
    <w:p>
      <w:pPr>
        <w:pStyle w:val="34"/>
        <w:tabs>
          <w:tab w:val="left" w:pos="1210"/>
        </w:tabs>
        <w:spacing w:line="360" w:lineRule="auto"/>
        <w:ind w:left="671" w:right="4315" w:firstLine="0"/>
        <w:rPr>
          <w:b/>
          <w:sz w:val="21"/>
          <w:szCs w:val="21"/>
        </w:rPr>
      </w:pPr>
      <w:r>
        <w:rPr>
          <w:b/>
          <w:sz w:val="21"/>
          <w:szCs w:val="21"/>
        </w:rPr>
        <w:t>29.告知磋商结果</w:t>
      </w:r>
    </w:p>
    <w:p>
      <w:pPr>
        <w:pStyle w:val="34"/>
        <w:numPr>
          <w:ilvl w:val="1"/>
          <w:numId w:val="12"/>
        </w:numPr>
        <w:tabs>
          <w:tab w:val="left" w:pos="1272"/>
        </w:tabs>
        <w:spacing w:line="360" w:lineRule="auto"/>
        <w:ind w:right="365" w:firstLine="434"/>
        <w:jc w:val="both"/>
        <w:rPr>
          <w:sz w:val="21"/>
          <w:szCs w:val="21"/>
        </w:rPr>
      </w:pPr>
      <w:r>
        <w:rPr>
          <w:sz w:val="21"/>
          <w:szCs w:val="21"/>
        </w:rPr>
        <w:t>在公告成交结果的同时，采购代理机构同时以</w:t>
      </w:r>
      <w:r>
        <w:rPr>
          <w:sz w:val="21"/>
          <w:szCs w:val="21"/>
          <w:u w:val="single"/>
        </w:rPr>
        <w:t>供应商须知前附表</w:t>
      </w:r>
      <w:r>
        <w:rPr>
          <w:sz w:val="21"/>
          <w:szCs w:val="21"/>
        </w:rPr>
        <w:t>规定的形式告知未成交供应商本人的评审得分和排序。</w:t>
      </w:r>
    </w:p>
    <w:p>
      <w:pPr>
        <w:pStyle w:val="34"/>
        <w:tabs>
          <w:tab w:val="left" w:pos="1255"/>
        </w:tabs>
        <w:spacing w:line="360" w:lineRule="auto"/>
        <w:ind w:left="714" w:right="1629" w:firstLine="0"/>
        <w:rPr>
          <w:spacing w:val="-1"/>
          <w:sz w:val="21"/>
          <w:szCs w:val="21"/>
        </w:rPr>
      </w:pPr>
      <w:r>
        <w:rPr>
          <w:rFonts w:hint="eastAsia"/>
          <w:spacing w:val="-1"/>
          <w:sz w:val="21"/>
          <w:szCs w:val="21"/>
        </w:rPr>
        <w:t xml:space="preserve">29.2 </w:t>
      </w:r>
      <w:r>
        <w:rPr>
          <w:spacing w:val="-1"/>
          <w:sz w:val="21"/>
          <w:szCs w:val="21"/>
        </w:rPr>
        <w:t>采购代理机构对未成交的供应商不做未成交原因的解释。</w:t>
      </w:r>
    </w:p>
    <w:p>
      <w:pPr>
        <w:pStyle w:val="34"/>
        <w:tabs>
          <w:tab w:val="left" w:pos="1255"/>
        </w:tabs>
        <w:spacing w:line="360" w:lineRule="auto"/>
        <w:ind w:left="714" w:right="1629" w:firstLine="0"/>
        <w:rPr>
          <w:b/>
          <w:sz w:val="21"/>
          <w:szCs w:val="21"/>
        </w:rPr>
      </w:pPr>
      <w:r>
        <w:rPr>
          <w:b/>
          <w:sz w:val="21"/>
          <w:szCs w:val="21"/>
        </w:rPr>
        <w:t>30.履约保证金</w:t>
      </w:r>
    </w:p>
    <w:p>
      <w:pPr>
        <w:pStyle w:val="34"/>
        <w:numPr>
          <w:ilvl w:val="1"/>
          <w:numId w:val="13"/>
        </w:numPr>
        <w:tabs>
          <w:tab w:val="left" w:pos="1210"/>
        </w:tabs>
        <w:spacing w:line="360" w:lineRule="auto"/>
        <w:ind w:hanging="541"/>
        <w:rPr>
          <w:sz w:val="21"/>
          <w:szCs w:val="21"/>
        </w:rPr>
      </w:pPr>
      <w:r>
        <w:rPr>
          <w:sz w:val="21"/>
          <w:szCs w:val="21"/>
        </w:rPr>
        <w:t>成交供应商应按照</w:t>
      </w:r>
      <w:r>
        <w:rPr>
          <w:sz w:val="21"/>
          <w:szCs w:val="21"/>
          <w:u w:val="single"/>
        </w:rPr>
        <w:t>供应商须知前附表</w:t>
      </w:r>
      <w:r>
        <w:rPr>
          <w:sz w:val="21"/>
          <w:szCs w:val="21"/>
        </w:rPr>
        <w:t>规定缴纳履约保证金。</w:t>
      </w:r>
    </w:p>
    <w:p>
      <w:pPr>
        <w:pStyle w:val="34"/>
        <w:numPr>
          <w:ilvl w:val="1"/>
          <w:numId w:val="13"/>
        </w:numPr>
        <w:tabs>
          <w:tab w:val="left" w:pos="1272"/>
        </w:tabs>
        <w:spacing w:before="156" w:line="360" w:lineRule="auto"/>
        <w:ind w:left="234" w:right="373" w:firstLine="434"/>
        <w:jc w:val="both"/>
        <w:rPr>
          <w:sz w:val="21"/>
          <w:szCs w:val="21"/>
        </w:rPr>
      </w:pPr>
      <w:r>
        <w:rPr>
          <w:spacing w:val="-1"/>
          <w:sz w:val="21"/>
          <w:szCs w:val="21"/>
        </w:rPr>
        <w:t>如果成交供应商没有按照上述履约保证金的规定执行，将视为放弃成</w:t>
      </w:r>
      <w:r>
        <w:rPr>
          <w:sz w:val="21"/>
          <w:szCs w:val="21"/>
        </w:rPr>
        <w:t>交资格。在此情况下，采购人可确定下一成交候选供应商为成交供应商，也可以重新开展采购活动。</w:t>
      </w:r>
    </w:p>
    <w:p>
      <w:pPr>
        <w:pStyle w:val="6"/>
        <w:numPr>
          <w:ilvl w:val="0"/>
          <w:numId w:val="14"/>
        </w:numPr>
      </w:pPr>
      <w:r>
        <w:t>成交服务费</w:t>
      </w:r>
    </w:p>
    <w:p>
      <w:pPr>
        <w:pStyle w:val="34"/>
        <w:tabs>
          <w:tab w:val="left" w:pos="1210"/>
        </w:tabs>
        <w:spacing w:before="158" w:line="360" w:lineRule="auto"/>
        <w:ind w:left="671" w:right="1434" w:firstLine="0"/>
        <w:rPr>
          <w:spacing w:val="-3"/>
          <w:sz w:val="21"/>
          <w:szCs w:val="21"/>
        </w:rPr>
      </w:pPr>
      <w:r>
        <w:rPr>
          <w:rFonts w:hint="eastAsia"/>
          <w:sz w:val="21"/>
          <w:szCs w:val="21"/>
        </w:rPr>
        <w:t>31.1</w:t>
      </w:r>
      <w:r>
        <w:rPr>
          <w:sz w:val="21"/>
          <w:szCs w:val="21"/>
        </w:rPr>
        <w:t>本项目成交服务费的收取按</w:t>
      </w:r>
      <w:r>
        <w:rPr>
          <w:sz w:val="21"/>
          <w:szCs w:val="21"/>
          <w:u w:val="single"/>
        </w:rPr>
        <w:t>供应商须知前附表</w:t>
      </w:r>
      <w:r>
        <w:rPr>
          <w:spacing w:val="-3"/>
          <w:sz w:val="21"/>
          <w:szCs w:val="21"/>
        </w:rPr>
        <w:t>的规定执行。</w:t>
      </w:r>
    </w:p>
    <w:p>
      <w:pPr>
        <w:pStyle w:val="34"/>
        <w:tabs>
          <w:tab w:val="left" w:pos="1210"/>
        </w:tabs>
        <w:spacing w:before="158" w:line="360" w:lineRule="auto"/>
        <w:ind w:left="671" w:right="1434" w:firstLine="0"/>
        <w:rPr>
          <w:b/>
          <w:sz w:val="21"/>
          <w:szCs w:val="21"/>
        </w:rPr>
      </w:pPr>
      <w:r>
        <w:rPr>
          <w:b/>
          <w:sz w:val="21"/>
          <w:szCs w:val="21"/>
        </w:rPr>
        <w:t>32.签订合同</w:t>
      </w:r>
    </w:p>
    <w:p>
      <w:pPr>
        <w:pStyle w:val="34"/>
        <w:numPr>
          <w:ilvl w:val="1"/>
          <w:numId w:val="15"/>
        </w:numPr>
        <w:tabs>
          <w:tab w:val="left" w:pos="1219"/>
        </w:tabs>
        <w:spacing w:line="360" w:lineRule="auto"/>
        <w:rPr>
          <w:sz w:val="21"/>
          <w:szCs w:val="21"/>
        </w:rPr>
      </w:pPr>
      <w:r>
        <w:rPr>
          <w:spacing w:val="-3"/>
          <w:sz w:val="21"/>
          <w:szCs w:val="21"/>
        </w:rPr>
        <w:t xml:space="preserve">采购人与成交供应商应当自发出成交通知书之日起 </w:t>
      </w:r>
      <w:r>
        <w:rPr>
          <w:sz w:val="21"/>
          <w:szCs w:val="21"/>
        </w:rPr>
        <w:t>30</w:t>
      </w:r>
      <w:r>
        <w:rPr>
          <w:spacing w:val="-4"/>
          <w:sz w:val="21"/>
          <w:szCs w:val="21"/>
        </w:rPr>
        <w:t xml:space="preserve"> 日内签订合同。</w:t>
      </w:r>
    </w:p>
    <w:p>
      <w:pPr>
        <w:pStyle w:val="34"/>
        <w:numPr>
          <w:ilvl w:val="1"/>
          <w:numId w:val="15"/>
        </w:numPr>
        <w:tabs>
          <w:tab w:val="left" w:pos="1272"/>
        </w:tabs>
        <w:spacing w:before="161" w:line="360" w:lineRule="auto"/>
        <w:ind w:left="234" w:right="373" w:firstLine="434"/>
        <w:jc w:val="both"/>
        <w:rPr>
          <w:sz w:val="21"/>
          <w:szCs w:val="21"/>
        </w:rPr>
      </w:pPr>
      <w:r>
        <w:rPr>
          <w:spacing w:val="-1"/>
          <w:sz w:val="21"/>
          <w:szCs w:val="21"/>
        </w:rPr>
        <w:t>磋商文件、成交供应商的响应文件及其澄清文件等，均为签订合同的</w:t>
      </w:r>
      <w:r>
        <w:rPr>
          <w:sz w:val="21"/>
          <w:szCs w:val="21"/>
        </w:rPr>
        <w:t>依据。</w:t>
      </w:r>
    </w:p>
    <w:p>
      <w:pPr>
        <w:pStyle w:val="34"/>
        <w:numPr>
          <w:ilvl w:val="1"/>
          <w:numId w:val="15"/>
        </w:numPr>
        <w:tabs>
          <w:tab w:val="left" w:pos="1306"/>
        </w:tabs>
        <w:spacing w:before="5" w:line="360" w:lineRule="auto"/>
        <w:ind w:left="234" w:right="372" w:firstLine="470"/>
        <w:jc w:val="both"/>
        <w:rPr>
          <w:sz w:val="21"/>
          <w:szCs w:val="21"/>
        </w:rPr>
      </w:pPr>
      <w:r>
        <w:rPr>
          <w:spacing w:val="-1"/>
          <w:sz w:val="21"/>
          <w:szCs w:val="21"/>
        </w:rPr>
        <w:t>成交供应商拒绝与采购人签订合同的，采购人可以按照评审报告推荐</w:t>
      </w:r>
      <w:r>
        <w:rPr>
          <w:sz w:val="21"/>
          <w:szCs w:val="21"/>
        </w:rPr>
        <w:t>的成交候选供应商名单排序，确定下一成交候选供应商为成交供应商，也可以重新开展采购活动。成交供应商拒绝签订</w:t>
      </w:r>
      <w:r>
        <w:rPr>
          <w:rFonts w:hint="eastAsia"/>
          <w:sz w:val="21"/>
          <w:szCs w:val="21"/>
        </w:rPr>
        <w:t>采购</w:t>
      </w:r>
      <w:r>
        <w:rPr>
          <w:sz w:val="21"/>
          <w:szCs w:val="21"/>
        </w:rPr>
        <w:t>合同的不得参加对该项目重新开展的采购活动。</w:t>
      </w:r>
    </w:p>
    <w:p>
      <w:pPr>
        <w:pStyle w:val="6"/>
        <w:numPr>
          <w:ilvl w:val="0"/>
          <w:numId w:val="16"/>
        </w:numPr>
      </w:pPr>
      <w:r>
        <w:t>廉洁自律规定</w:t>
      </w:r>
    </w:p>
    <w:p>
      <w:pPr>
        <w:pStyle w:val="34"/>
        <w:tabs>
          <w:tab w:val="left" w:pos="1306"/>
        </w:tabs>
        <w:spacing w:before="5" w:line="360" w:lineRule="auto"/>
        <w:ind w:left="703" w:right="374" w:firstLine="0"/>
        <w:jc w:val="both"/>
        <w:rPr>
          <w:spacing w:val="-1"/>
          <w:sz w:val="21"/>
          <w:szCs w:val="21"/>
        </w:rPr>
      </w:pPr>
      <w:r>
        <w:rPr>
          <w:rFonts w:hint="eastAsia"/>
          <w:spacing w:val="-1"/>
          <w:sz w:val="21"/>
          <w:szCs w:val="21"/>
        </w:rPr>
        <w:t>33.1</w:t>
      </w:r>
      <w:r>
        <w:rPr>
          <w:spacing w:val="-1"/>
          <w:sz w:val="21"/>
          <w:szCs w:val="21"/>
        </w:rPr>
        <w:t>采购代理机构工作人员不得以不正当手段获取采购代理业务，不得与采购人、供应商恶意串通。</w:t>
      </w:r>
    </w:p>
    <w:p>
      <w:pPr>
        <w:tabs>
          <w:tab w:val="left" w:pos="1193"/>
        </w:tabs>
        <w:spacing w:before="5" w:line="360" w:lineRule="auto"/>
        <w:ind w:left="669" w:right="374"/>
        <w:rPr>
          <w:rFonts w:ascii="宋体" w:hAnsi="宋体"/>
        </w:rPr>
      </w:pPr>
      <w:r>
        <w:rPr>
          <w:rFonts w:hint="eastAsia" w:ascii="宋体" w:hAnsi="宋体"/>
          <w:spacing w:val="-6"/>
        </w:rPr>
        <w:t>33.2</w:t>
      </w:r>
      <w:r>
        <w:rPr>
          <w:rFonts w:ascii="宋体" w:hAnsi="宋体"/>
          <w:spacing w:val="-6"/>
        </w:rPr>
        <w:t>采购代理机构工作人员不得接受采购人或者供应商组织的宴请、旅游、</w:t>
      </w:r>
      <w:r>
        <w:rPr>
          <w:rFonts w:ascii="宋体" w:hAnsi="宋体"/>
        </w:rPr>
        <w:t>娱乐，不得收受礼品、现金、有价证券等，不得向采购人或者供应商报销应当由个人承担的费用。</w:t>
      </w:r>
    </w:p>
    <w:p>
      <w:pPr>
        <w:pStyle w:val="6"/>
        <w:numPr>
          <w:ilvl w:val="0"/>
          <w:numId w:val="16"/>
        </w:numPr>
      </w:pPr>
      <w:r>
        <w:t>质疑的提出与接收</w:t>
      </w:r>
    </w:p>
    <w:p>
      <w:pPr>
        <w:pStyle w:val="34"/>
        <w:numPr>
          <w:ilvl w:val="1"/>
          <w:numId w:val="16"/>
        </w:numPr>
        <w:tabs>
          <w:tab w:val="left" w:pos="1210"/>
        </w:tabs>
        <w:spacing w:before="161" w:line="360" w:lineRule="auto"/>
        <w:ind w:left="234" w:right="373" w:firstLine="434"/>
        <w:jc w:val="both"/>
        <w:rPr>
          <w:sz w:val="21"/>
          <w:szCs w:val="21"/>
        </w:rPr>
      </w:pPr>
      <w:r>
        <w:rPr>
          <w:spacing w:val="-13"/>
          <w:sz w:val="21"/>
          <w:szCs w:val="21"/>
        </w:rPr>
        <w:t>供应商认为磋商文件、采购过程、成交结果使自己的权益受到损害的， 可以</w:t>
      </w:r>
      <w:r>
        <w:rPr>
          <w:sz w:val="21"/>
          <w:szCs w:val="21"/>
        </w:rPr>
        <w:t>向采购人或其委托的采购代理机构提出质疑。</w:t>
      </w:r>
    </w:p>
    <w:p>
      <w:pPr>
        <w:pStyle w:val="34"/>
        <w:numPr>
          <w:ilvl w:val="1"/>
          <w:numId w:val="16"/>
        </w:numPr>
        <w:tabs>
          <w:tab w:val="left" w:pos="1272"/>
        </w:tabs>
        <w:spacing w:line="360" w:lineRule="auto"/>
        <w:ind w:left="234" w:right="367" w:firstLine="434"/>
        <w:jc w:val="both"/>
        <w:rPr>
          <w:sz w:val="21"/>
          <w:szCs w:val="21"/>
        </w:rPr>
      </w:pPr>
      <w:r>
        <w:rPr>
          <w:sz w:val="21"/>
          <w:szCs w:val="21"/>
        </w:rPr>
        <w:t>质疑供应商应按照磋商文件第八章的要求，在质疑期内以书面形式提出质疑，超出法定质疑期提交的质疑将被拒绝。针对同一采购程序环节的质疑应一次性提出。</w:t>
      </w:r>
    </w:p>
    <w:p>
      <w:pPr>
        <w:pStyle w:val="2"/>
        <w:spacing w:line="360" w:lineRule="auto"/>
        <w:ind w:left="234" w:right="373" w:firstLine="434"/>
        <w:rPr>
          <w:sz w:val="21"/>
          <w:szCs w:val="21"/>
        </w:rPr>
      </w:pPr>
      <w:r>
        <w:rPr>
          <w:spacing w:val="-8"/>
          <w:sz w:val="21"/>
          <w:szCs w:val="21"/>
        </w:rPr>
        <w:t>超出质疑期的、重复提出的、分次提出的或内容、形式不符合</w:t>
      </w:r>
      <w:r>
        <w:rPr>
          <w:rFonts w:hint="eastAsia"/>
          <w:spacing w:val="-8"/>
          <w:sz w:val="21"/>
          <w:szCs w:val="21"/>
        </w:rPr>
        <w:t>磋商文件要求</w:t>
      </w:r>
      <w:r>
        <w:rPr>
          <w:sz w:val="21"/>
          <w:szCs w:val="21"/>
        </w:rPr>
        <w:t>的，质疑供应商将依法承担不利后果。</w:t>
      </w:r>
    </w:p>
    <w:p>
      <w:pPr>
        <w:pStyle w:val="6"/>
        <w:numPr>
          <w:ilvl w:val="0"/>
          <w:numId w:val="16"/>
        </w:numPr>
      </w:pPr>
      <w:r>
        <w:t>需要补充的其他内容</w:t>
      </w:r>
    </w:p>
    <w:p>
      <w:pPr>
        <w:pStyle w:val="2"/>
        <w:spacing w:before="155" w:line="360" w:lineRule="auto"/>
        <w:ind w:left="669"/>
        <w:rPr>
          <w:sz w:val="21"/>
          <w:szCs w:val="21"/>
        </w:rPr>
      </w:pPr>
      <w:r>
        <w:rPr>
          <w:sz w:val="21"/>
          <w:szCs w:val="21"/>
        </w:rPr>
        <w:t>需要补充的其他内容，见</w:t>
      </w:r>
      <w:r>
        <w:rPr>
          <w:sz w:val="21"/>
          <w:szCs w:val="21"/>
          <w:u w:val="single"/>
        </w:rPr>
        <w:t>供应商须知前附表</w:t>
      </w:r>
      <w:r>
        <w:rPr>
          <w:sz w:val="21"/>
          <w:szCs w:val="21"/>
        </w:rPr>
        <w:t>。</w:t>
      </w:r>
    </w:p>
    <w:p>
      <w:pPr>
        <w:pStyle w:val="34"/>
        <w:tabs>
          <w:tab w:val="left" w:pos="1330"/>
        </w:tabs>
        <w:spacing w:before="161" w:line="360" w:lineRule="auto"/>
        <w:ind w:left="1329" w:firstLine="0"/>
        <w:jc w:val="both"/>
        <w:rPr>
          <w:sz w:val="21"/>
          <w:szCs w:val="21"/>
        </w:rPr>
      </w:pPr>
    </w:p>
    <w:p>
      <w:pPr>
        <w:spacing w:line="360" w:lineRule="auto"/>
        <w:rPr>
          <w:rFonts w:ascii="宋体" w:hAnsi="宋体"/>
        </w:rPr>
      </w:pPr>
    </w:p>
    <w:p>
      <w:pPr>
        <w:widowControl/>
        <w:spacing w:line="360" w:lineRule="auto"/>
        <w:jc w:val="left"/>
        <w:rPr>
          <w:rFonts w:ascii="宋体" w:hAnsi="宋体"/>
        </w:rPr>
      </w:pPr>
      <w:r>
        <w:rPr>
          <w:rFonts w:ascii="宋体" w:hAnsi="宋体"/>
        </w:rPr>
        <w:br w:type="page"/>
      </w:r>
    </w:p>
    <w:p>
      <w:pPr>
        <w:pStyle w:val="3"/>
        <w:tabs>
          <w:tab w:val="left" w:pos="1125"/>
        </w:tabs>
        <w:ind w:right="136"/>
        <w:jc w:val="center"/>
        <w:rPr>
          <w:rFonts w:ascii="宋体" w:hAnsi="宋体"/>
          <w:sz w:val="32"/>
          <w:szCs w:val="32"/>
        </w:rPr>
      </w:pPr>
      <w:bookmarkStart w:id="51" w:name="_Toc30315"/>
      <w:r>
        <w:rPr>
          <w:rFonts w:ascii="宋体" w:hAnsi="宋体"/>
          <w:sz w:val="32"/>
          <w:szCs w:val="32"/>
        </w:rPr>
        <w:t>第三章</w:t>
      </w:r>
      <w:r>
        <w:rPr>
          <w:rFonts w:ascii="宋体" w:hAnsi="宋体"/>
          <w:sz w:val="32"/>
          <w:szCs w:val="32"/>
        </w:rPr>
        <w:tab/>
      </w:r>
      <w:r>
        <w:rPr>
          <w:rFonts w:hint="eastAsia" w:ascii="宋体" w:hAnsi="宋体"/>
          <w:sz w:val="32"/>
          <w:szCs w:val="32"/>
        </w:rPr>
        <w:t xml:space="preserve"> </w:t>
      </w:r>
      <w:r>
        <w:rPr>
          <w:rFonts w:ascii="宋体" w:hAnsi="宋体"/>
          <w:sz w:val="32"/>
          <w:szCs w:val="32"/>
        </w:rPr>
        <w:t>采购需求</w:t>
      </w:r>
      <w:bookmarkEnd w:id="51"/>
    </w:p>
    <w:p>
      <w:pPr>
        <w:pStyle w:val="6"/>
      </w:pPr>
      <w:r>
        <w:t>前注：</w:t>
      </w:r>
    </w:p>
    <w:p>
      <w:pPr>
        <w:pStyle w:val="2"/>
        <w:spacing w:before="160" w:line="360" w:lineRule="auto"/>
        <w:ind w:left="234" w:right="249" w:firstLine="436"/>
      </w:pPr>
      <w:r>
        <w:t>本说明中提出的技术方案仅为参考，如无明确限制，供应商可以进行优化， 提供满足用户实际需要的更优（或者性能实质上不低于的）服务方案，且此方案须经磋商小组评审认可。</w:t>
      </w:r>
    </w:p>
    <w:p>
      <w:pPr>
        <w:pStyle w:val="2"/>
        <w:spacing w:line="360" w:lineRule="auto"/>
      </w:pPr>
    </w:p>
    <w:p>
      <w:pPr>
        <w:pStyle w:val="6"/>
        <w:rPr>
          <w:rFonts w:hint="eastAsia"/>
          <w:sz w:val="24"/>
          <w:szCs w:val="24"/>
        </w:rPr>
      </w:pPr>
      <w:r>
        <w:rPr>
          <w:sz w:val="24"/>
          <w:szCs w:val="24"/>
        </w:rPr>
        <w:t>一、采购需求前附表</w:t>
      </w:r>
    </w:p>
    <w:tbl>
      <w:tblPr>
        <w:tblStyle w:val="18"/>
        <w:tblW w:w="849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2026"/>
        <w:gridCol w:w="54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vAlign w:val="center"/>
          </w:tcPr>
          <w:p>
            <w:pPr>
              <w:pStyle w:val="46"/>
              <w:spacing w:before="96" w:line="360" w:lineRule="auto"/>
              <w:ind w:left="118" w:right="109"/>
              <w:jc w:val="center"/>
              <w:rPr>
                <w:b/>
                <w:sz w:val="24"/>
                <w:szCs w:val="24"/>
                <w:lang w:eastAsia="en-US"/>
              </w:rPr>
            </w:pPr>
            <w:r>
              <w:rPr>
                <w:b/>
                <w:sz w:val="24"/>
                <w:szCs w:val="24"/>
                <w:lang w:eastAsia="en-US"/>
              </w:rPr>
              <w:t>序号</w:t>
            </w:r>
          </w:p>
        </w:tc>
        <w:tc>
          <w:tcPr>
            <w:tcW w:w="2026" w:type="dxa"/>
            <w:shd w:val="clear" w:color="auto" w:fill="auto"/>
            <w:vAlign w:val="center"/>
          </w:tcPr>
          <w:p>
            <w:pPr>
              <w:pStyle w:val="46"/>
              <w:spacing w:before="19" w:line="360" w:lineRule="auto"/>
              <w:ind w:left="510" w:right="502"/>
              <w:jc w:val="center"/>
              <w:rPr>
                <w:b/>
                <w:sz w:val="24"/>
                <w:szCs w:val="24"/>
                <w:lang w:eastAsia="en-US"/>
              </w:rPr>
            </w:pPr>
            <w:r>
              <w:rPr>
                <w:b/>
                <w:sz w:val="24"/>
                <w:szCs w:val="24"/>
                <w:lang w:eastAsia="en-US"/>
              </w:rPr>
              <w:t>条款名称</w:t>
            </w:r>
          </w:p>
        </w:tc>
        <w:tc>
          <w:tcPr>
            <w:tcW w:w="5468" w:type="dxa"/>
            <w:shd w:val="clear" w:color="auto" w:fill="auto"/>
            <w:vAlign w:val="center"/>
          </w:tcPr>
          <w:p>
            <w:pPr>
              <w:pStyle w:val="46"/>
              <w:spacing w:before="19" w:line="360" w:lineRule="auto"/>
              <w:ind w:left="1769"/>
              <w:rPr>
                <w:b/>
                <w:sz w:val="24"/>
                <w:szCs w:val="24"/>
                <w:lang w:eastAsia="en-US"/>
              </w:rPr>
            </w:pPr>
            <w:r>
              <w:rPr>
                <w:b/>
                <w:sz w:val="24"/>
                <w:szCs w:val="24"/>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vAlign w:val="center"/>
          </w:tcPr>
          <w:p>
            <w:pPr>
              <w:pStyle w:val="46"/>
              <w:spacing w:before="95" w:line="360" w:lineRule="auto"/>
              <w:ind w:left="9"/>
              <w:jc w:val="center"/>
              <w:rPr>
                <w:sz w:val="24"/>
                <w:szCs w:val="24"/>
                <w:lang w:eastAsia="en-US"/>
              </w:rPr>
            </w:pPr>
            <w:r>
              <w:rPr>
                <w:sz w:val="24"/>
                <w:szCs w:val="24"/>
                <w:lang w:eastAsia="en-US"/>
              </w:rPr>
              <w:t>1</w:t>
            </w:r>
          </w:p>
        </w:tc>
        <w:tc>
          <w:tcPr>
            <w:tcW w:w="2026" w:type="dxa"/>
            <w:shd w:val="clear" w:color="auto" w:fill="auto"/>
            <w:vAlign w:val="center"/>
          </w:tcPr>
          <w:p>
            <w:pPr>
              <w:pStyle w:val="46"/>
              <w:spacing w:before="16" w:line="360" w:lineRule="auto"/>
              <w:ind w:left="510" w:right="501"/>
              <w:jc w:val="center"/>
              <w:rPr>
                <w:sz w:val="24"/>
                <w:szCs w:val="24"/>
                <w:lang w:eastAsia="en-US"/>
              </w:rPr>
            </w:pPr>
            <w:r>
              <w:rPr>
                <w:sz w:val="24"/>
                <w:szCs w:val="24"/>
                <w:lang w:eastAsia="en-US"/>
              </w:rPr>
              <w:t>付款方式</w:t>
            </w:r>
          </w:p>
        </w:tc>
        <w:tc>
          <w:tcPr>
            <w:tcW w:w="5468" w:type="dxa"/>
            <w:shd w:val="clear" w:color="auto" w:fill="auto"/>
            <w:vAlign w:val="center"/>
          </w:tcPr>
          <w:p>
            <w:pPr>
              <w:pStyle w:val="46"/>
              <w:spacing w:line="360" w:lineRule="auto"/>
              <w:rPr>
                <w:rFonts w:hint="default" w:eastAsia="宋体"/>
                <w:sz w:val="24"/>
                <w:szCs w:val="24"/>
                <w:highlight w:val="none"/>
                <w:lang w:val="en-US" w:eastAsia="zh-CN"/>
              </w:rPr>
            </w:pPr>
            <w:r>
              <w:rPr>
                <w:rFonts w:hint="eastAsia"/>
                <w:sz w:val="24"/>
                <w:szCs w:val="24"/>
                <w:highlight w:val="none"/>
                <w:lang w:val="en-US" w:eastAsia="zh-CN"/>
              </w:rPr>
              <w:t>合同中另行约定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vAlign w:val="center"/>
          </w:tcPr>
          <w:p>
            <w:pPr>
              <w:pStyle w:val="46"/>
              <w:spacing w:before="95" w:line="360" w:lineRule="auto"/>
              <w:ind w:left="9"/>
              <w:jc w:val="center"/>
              <w:rPr>
                <w:sz w:val="24"/>
                <w:szCs w:val="24"/>
                <w:lang w:eastAsia="en-US"/>
              </w:rPr>
            </w:pPr>
            <w:r>
              <w:rPr>
                <w:sz w:val="24"/>
                <w:szCs w:val="24"/>
                <w:lang w:eastAsia="en-US"/>
              </w:rPr>
              <w:t>2</w:t>
            </w:r>
          </w:p>
        </w:tc>
        <w:tc>
          <w:tcPr>
            <w:tcW w:w="2026" w:type="dxa"/>
            <w:shd w:val="clear" w:color="auto" w:fill="auto"/>
            <w:vAlign w:val="center"/>
          </w:tcPr>
          <w:p>
            <w:pPr>
              <w:pStyle w:val="46"/>
              <w:spacing w:before="16" w:line="360" w:lineRule="auto"/>
              <w:ind w:left="510" w:right="501"/>
              <w:jc w:val="center"/>
              <w:rPr>
                <w:sz w:val="24"/>
                <w:szCs w:val="24"/>
                <w:lang w:eastAsia="en-US"/>
              </w:rPr>
            </w:pPr>
            <w:r>
              <w:rPr>
                <w:sz w:val="24"/>
                <w:szCs w:val="24"/>
                <w:lang w:eastAsia="en-US"/>
              </w:rPr>
              <w:t>服务地点</w:t>
            </w:r>
          </w:p>
        </w:tc>
        <w:tc>
          <w:tcPr>
            <w:tcW w:w="5468" w:type="dxa"/>
            <w:shd w:val="clear" w:color="auto" w:fill="auto"/>
            <w:vAlign w:val="center"/>
          </w:tcPr>
          <w:p>
            <w:pPr>
              <w:pStyle w:val="46"/>
              <w:spacing w:line="360" w:lineRule="auto"/>
              <w:rPr>
                <w:sz w:val="24"/>
                <w:szCs w:val="24"/>
                <w:highlight w:val="none"/>
                <w:lang w:val="en-US"/>
              </w:rPr>
            </w:pPr>
            <w:r>
              <w:rPr>
                <w:rFonts w:hint="eastAsia"/>
                <w:b w:val="0"/>
                <w:bCs/>
                <w:sz w:val="24"/>
                <w:szCs w:val="24"/>
                <w:highlight w:val="none"/>
                <w:lang w:val="en-US"/>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vAlign w:val="center"/>
          </w:tcPr>
          <w:p>
            <w:pPr>
              <w:pStyle w:val="46"/>
              <w:spacing w:before="95" w:line="360" w:lineRule="auto"/>
              <w:ind w:left="9"/>
              <w:jc w:val="center"/>
              <w:rPr>
                <w:sz w:val="24"/>
                <w:szCs w:val="24"/>
                <w:lang w:eastAsia="en-US"/>
              </w:rPr>
            </w:pPr>
            <w:r>
              <w:rPr>
                <w:sz w:val="24"/>
                <w:szCs w:val="24"/>
                <w:lang w:eastAsia="en-US"/>
              </w:rPr>
              <w:t>3</w:t>
            </w:r>
          </w:p>
        </w:tc>
        <w:tc>
          <w:tcPr>
            <w:tcW w:w="2026" w:type="dxa"/>
            <w:shd w:val="clear" w:color="auto" w:fill="auto"/>
            <w:vAlign w:val="center"/>
          </w:tcPr>
          <w:p>
            <w:pPr>
              <w:pStyle w:val="46"/>
              <w:spacing w:before="19" w:line="360" w:lineRule="auto"/>
              <w:ind w:left="510" w:right="501"/>
              <w:jc w:val="center"/>
              <w:rPr>
                <w:sz w:val="24"/>
                <w:szCs w:val="24"/>
                <w:lang w:eastAsia="en-US"/>
              </w:rPr>
            </w:pPr>
            <w:r>
              <w:rPr>
                <w:sz w:val="24"/>
                <w:szCs w:val="24"/>
                <w:lang w:eastAsia="en-US"/>
              </w:rPr>
              <w:t>服务期限</w:t>
            </w:r>
          </w:p>
        </w:tc>
        <w:tc>
          <w:tcPr>
            <w:tcW w:w="5468" w:type="dxa"/>
            <w:shd w:val="clear" w:color="auto" w:fill="auto"/>
            <w:vAlign w:val="center"/>
          </w:tcPr>
          <w:p>
            <w:pPr>
              <w:pStyle w:val="46"/>
              <w:spacing w:line="360" w:lineRule="auto"/>
              <w:rPr>
                <w:sz w:val="24"/>
                <w:szCs w:val="24"/>
                <w:highlight w:val="none"/>
                <w:lang w:val="en-US"/>
              </w:rPr>
            </w:pPr>
            <w:r>
              <w:rPr>
                <w:rFonts w:hint="eastAsia"/>
                <w:sz w:val="24"/>
                <w:szCs w:val="24"/>
                <w:highlight w:val="none"/>
                <w:lang w:val="en-US" w:eastAsia="zh-CN"/>
              </w:rPr>
              <w:t>180</w:t>
            </w:r>
            <w:r>
              <w:rPr>
                <w:rFonts w:hint="eastAsia"/>
                <w:sz w:val="24"/>
                <w:szCs w:val="24"/>
                <w:highlight w:val="none"/>
                <w:lang w:val="en-US"/>
              </w:rPr>
              <w:t>日历天</w:t>
            </w:r>
          </w:p>
        </w:tc>
      </w:tr>
    </w:tbl>
    <w:p>
      <w:pPr>
        <w:pStyle w:val="6"/>
        <w:rPr>
          <w:sz w:val="24"/>
          <w:szCs w:val="24"/>
        </w:rPr>
      </w:pPr>
    </w:p>
    <w:p>
      <w:pPr>
        <w:pStyle w:val="3"/>
        <w:tabs>
          <w:tab w:val="left" w:pos="1125"/>
        </w:tabs>
        <w:spacing w:line="360" w:lineRule="auto"/>
        <w:ind w:right="133"/>
        <w:jc w:val="center"/>
        <w:rPr>
          <w:rFonts w:hint="default" w:ascii="Cambria" w:hAnsi="Cambria" w:eastAsia="宋体" w:cs="Times New Roman"/>
          <w:b/>
          <w:bCs/>
          <w:kern w:val="2"/>
          <w:sz w:val="24"/>
          <w:szCs w:val="24"/>
          <w:lang w:val="en-US" w:eastAsia="zh-CN" w:bidi="ar-SA"/>
        </w:rPr>
      </w:pPr>
      <w:bookmarkStart w:id="52" w:name="_Toc21159"/>
      <w:r>
        <w:rPr>
          <w:rFonts w:ascii="Cambria" w:hAnsi="Cambria" w:eastAsia="宋体" w:cs="Times New Roman"/>
          <w:b/>
          <w:bCs/>
          <w:kern w:val="2"/>
          <w:sz w:val="24"/>
          <w:szCs w:val="24"/>
          <w:lang w:val="en-US" w:eastAsia="zh-CN" w:bidi="ar-SA"/>
        </w:rPr>
        <w:t>二、</w:t>
      </w:r>
      <w:bookmarkStart w:id="53" w:name="_bookmark3"/>
      <w:bookmarkEnd w:id="53"/>
      <w:r>
        <w:rPr>
          <w:rFonts w:hint="eastAsia" w:ascii="Cambria" w:hAnsi="Cambria" w:eastAsia="宋体" w:cs="Times New Roman"/>
          <w:b/>
          <w:bCs/>
          <w:kern w:val="2"/>
          <w:sz w:val="24"/>
          <w:szCs w:val="24"/>
          <w:lang w:val="en-US" w:eastAsia="zh-CN" w:bidi="ar-SA"/>
        </w:rPr>
        <w:t>服务需求：</w:t>
      </w:r>
      <w:bookmarkEnd w:id="52"/>
    </w:p>
    <w:p>
      <w:pPr>
        <w:pStyle w:val="3"/>
        <w:tabs>
          <w:tab w:val="left" w:pos="1125"/>
        </w:tabs>
        <w:spacing w:line="360" w:lineRule="auto"/>
        <w:ind w:right="133"/>
        <w:jc w:val="left"/>
        <w:rPr>
          <w:rFonts w:hint="default"/>
          <w:sz w:val="24"/>
          <w:szCs w:val="24"/>
        </w:rPr>
      </w:pPr>
      <w:r>
        <w:rPr>
          <w:rFonts w:hint="eastAsia" w:ascii="宋体" w:hAnsi="宋体" w:eastAsia="宋体" w:cs="宋体"/>
          <w:b w:val="0"/>
          <w:bCs w:val="0"/>
          <w:spacing w:val="-6"/>
          <w:kern w:val="0"/>
          <w:sz w:val="21"/>
          <w:szCs w:val="21"/>
          <w:lang w:val="en-US" w:eastAsia="zh-CN" w:bidi="zh-CN"/>
        </w:rPr>
        <w:t xml:space="preserve">    </w:t>
      </w:r>
      <w:bookmarkStart w:id="54" w:name="_Toc2752"/>
      <w:r>
        <w:rPr>
          <w:rFonts w:hint="default" w:ascii="宋体" w:hAnsi="宋体" w:eastAsia="宋体" w:cs="宋体"/>
          <w:b w:val="0"/>
          <w:bCs w:val="0"/>
          <w:spacing w:val="-6"/>
          <w:kern w:val="0"/>
          <w:sz w:val="21"/>
          <w:szCs w:val="21"/>
          <w:lang w:val="zh-CN" w:eastAsia="zh-CN" w:bidi="zh-CN"/>
        </w:rPr>
        <w:t>为规范废品回收行业的监督管理，推动再生资源回收综合利用，遏制涉及废品回收行业的违法犯罪活动，切实推进城乡环境综合治理，规范我镇废品收购行业经营秩序，改善城乡环境，促进社会综合治理，实现生态环境质量持续改善和社会秩序长治久安，坚决打赢“三大攻坚战”，现制定废品收购站（点）综合整治</w:t>
      </w:r>
      <w:r>
        <w:rPr>
          <w:rFonts w:hint="eastAsia" w:ascii="宋体" w:hAnsi="宋体" w:eastAsia="宋体" w:cs="宋体"/>
          <w:b w:val="0"/>
          <w:bCs w:val="0"/>
          <w:spacing w:val="-6"/>
          <w:kern w:val="0"/>
          <w:sz w:val="21"/>
          <w:szCs w:val="21"/>
          <w:lang w:val="en-US" w:eastAsia="zh-CN" w:bidi="zh-CN"/>
        </w:rPr>
        <w:t>工作</w:t>
      </w:r>
      <w:r>
        <w:rPr>
          <w:rFonts w:hint="default" w:ascii="宋体" w:hAnsi="宋体" w:eastAsia="宋体" w:cs="宋体"/>
          <w:b w:val="0"/>
          <w:bCs w:val="0"/>
          <w:spacing w:val="-6"/>
          <w:kern w:val="0"/>
          <w:sz w:val="21"/>
          <w:szCs w:val="21"/>
          <w:lang w:val="zh-CN" w:eastAsia="zh-CN" w:bidi="zh-CN"/>
        </w:rPr>
        <w:t>：</w:t>
      </w:r>
      <w:bookmarkEnd w:id="54"/>
    </w:p>
    <w:p>
      <w:pPr>
        <w:pStyle w:val="3"/>
        <w:tabs>
          <w:tab w:val="left" w:pos="1125"/>
        </w:tabs>
        <w:spacing w:line="360" w:lineRule="auto"/>
        <w:ind w:right="133"/>
        <w:jc w:val="left"/>
        <w:rPr>
          <w:rFonts w:hint="default" w:ascii="宋体" w:hAnsi="宋体" w:eastAsia="宋体" w:cs="宋体"/>
          <w:b/>
          <w:bCs/>
          <w:spacing w:val="-6"/>
          <w:kern w:val="0"/>
          <w:sz w:val="21"/>
          <w:szCs w:val="21"/>
          <w:lang w:val="zh-CN" w:eastAsia="zh-CN" w:bidi="zh-CN"/>
        </w:rPr>
      </w:pPr>
      <w:bookmarkStart w:id="55" w:name="_Toc20668"/>
      <w:r>
        <w:rPr>
          <w:rFonts w:hint="default" w:ascii="宋体" w:hAnsi="宋体" w:eastAsia="宋体" w:cs="宋体"/>
          <w:b/>
          <w:bCs/>
          <w:spacing w:val="-6"/>
          <w:kern w:val="0"/>
          <w:sz w:val="21"/>
          <w:szCs w:val="21"/>
          <w:lang w:val="zh-CN" w:eastAsia="zh-CN" w:bidi="zh-CN"/>
        </w:rPr>
        <w:t>一、指导思想</w:t>
      </w:r>
      <w:bookmarkEnd w:id="55"/>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废品收购站(点)已成为造成区域环境污染的重要因素，清理整治废品收购站(点)，是改善环境质量，打赢蓝天保卫战的重要抓手。以全面落实习近平生态文明思想和关于推动长江经济带发展的重要战略思想为指导，以规范行业有序发展、改善街道和村环境质量、提升群众居住环境为目标，按照“疏堵结合、标本兼治、节约资源、规范发展”的原则，对我镇从事废塑料、废旧金属、废纸、废家电、废旧纺织品以及危化废物和有毒、易燃易爆产品的包装物等废品回收站（点）进行综合整治，推动产业结构得到优化、环境质量得到改善。</w:t>
      </w:r>
    </w:p>
    <w:p>
      <w:pPr>
        <w:pStyle w:val="3"/>
        <w:tabs>
          <w:tab w:val="left" w:pos="1125"/>
        </w:tabs>
        <w:spacing w:line="360" w:lineRule="auto"/>
        <w:ind w:right="133"/>
        <w:jc w:val="left"/>
        <w:rPr>
          <w:rFonts w:hint="default" w:ascii="宋体" w:hAnsi="宋体" w:eastAsia="宋体" w:cs="宋体"/>
          <w:b/>
          <w:bCs/>
          <w:spacing w:val="-6"/>
          <w:kern w:val="0"/>
          <w:sz w:val="21"/>
          <w:szCs w:val="21"/>
          <w:lang w:val="zh-CN" w:eastAsia="zh-CN" w:bidi="zh-CN"/>
        </w:rPr>
      </w:pPr>
      <w:bookmarkStart w:id="56" w:name="_Toc30176"/>
      <w:r>
        <w:rPr>
          <w:rFonts w:hint="eastAsia" w:ascii="宋体" w:hAnsi="宋体" w:eastAsia="宋体" w:cs="宋体"/>
          <w:b/>
          <w:bCs/>
          <w:spacing w:val="-6"/>
          <w:kern w:val="0"/>
          <w:sz w:val="21"/>
          <w:szCs w:val="21"/>
          <w:lang w:val="en-US" w:eastAsia="zh-CN" w:bidi="zh-CN"/>
        </w:rPr>
        <w:t>二、</w:t>
      </w:r>
      <w:r>
        <w:rPr>
          <w:rFonts w:hint="default" w:ascii="宋体" w:hAnsi="宋体" w:eastAsia="宋体" w:cs="宋体"/>
          <w:b/>
          <w:bCs/>
          <w:spacing w:val="-6"/>
          <w:kern w:val="0"/>
          <w:sz w:val="21"/>
          <w:szCs w:val="21"/>
          <w:lang w:val="zh-CN" w:eastAsia="zh-CN" w:bidi="zh-CN"/>
        </w:rPr>
        <w:t>整治内容和目标</w:t>
      </w:r>
      <w:bookmarkEnd w:id="56"/>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重点整治镇以下</w:t>
      </w:r>
      <w:r>
        <w:rPr>
          <w:rFonts w:hint="default" w:ascii="宋体" w:hAnsi="宋体" w:eastAsia="宋体" w:cs="宋体"/>
          <w:spacing w:val="-6"/>
          <w:sz w:val="21"/>
          <w:szCs w:val="21"/>
          <w:lang w:eastAsia="zh-CN"/>
        </w:rPr>
        <w:t>五</w:t>
      </w:r>
      <w:r>
        <w:rPr>
          <w:rFonts w:hint="default" w:ascii="宋体" w:hAnsi="宋体" w:eastAsia="宋体" w:cs="宋体"/>
          <w:spacing w:val="-6"/>
          <w:sz w:val="21"/>
          <w:szCs w:val="21"/>
        </w:rPr>
        <w:t>类废品收购站（点）：</w:t>
      </w:r>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(1)无经营执照或证照不齐全、出售出租转让经营执法、一经营执照多点、人与经营执照不符、擅自改变经营地址等违法设置的废品收购站；</w:t>
      </w:r>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(2)违规用地或严重影响城市规划和环境优化、美化要求，影响城市市容的废品收购站；</w:t>
      </w:r>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(3)有合法经营手续、选址手续，但管理不符合消防、卫生、城市管理等要求的废品收购站；</w:t>
      </w:r>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(4)违规超范围经营的废品收购站；</w:t>
      </w:r>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w:t>
      </w:r>
      <w:r>
        <w:rPr>
          <w:rFonts w:hint="default" w:ascii="宋体" w:hAnsi="宋体" w:eastAsia="宋体" w:cs="宋体"/>
          <w:spacing w:val="-6"/>
          <w:sz w:val="21"/>
          <w:szCs w:val="21"/>
          <w:lang w:val="en-US" w:eastAsia="zh-CN"/>
        </w:rPr>
        <w:t>5</w:t>
      </w:r>
      <w:r>
        <w:rPr>
          <w:rFonts w:hint="default" w:ascii="宋体" w:hAnsi="宋体" w:eastAsia="宋体" w:cs="宋体"/>
          <w:spacing w:val="-6"/>
          <w:sz w:val="21"/>
          <w:szCs w:val="21"/>
        </w:rPr>
        <w:t>)其他群众反映强烈的废品收购站。</w:t>
      </w:r>
    </w:p>
    <w:p>
      <w:pPr>
        <w:pStyle w:val="2"/>
        <w:spacing w:before="159" w:line="360" w:lineRule="auto"/>
        <w:ind w:right="373"/>
        <w:rPr>
          <w:rFonts w:hint="eastAsia" w:cs="宋体"/>
          <w:b/>
          <w:bCs/>
          <w:spacing w:val="-6"/>
          <w:sz w:val="21"/>
          <w:szCs w:val="21"/>
          <w:lang w:val="en-US" w:eastAsia="zh-CN"/>
        </w:rPr>
      </w:pPr>
      <w:r>
        <w:rPr>
          <w:rFonts w:hint="eastAsia" w:cs="宋体"/>
          <w:b/>
          <w:bCs/>
          <w:spacing w:val="-6"/>
          <w:sz w:val="21"/>
          <w:szCs w:val="21"/>
          <w:lang w:val="en-US" w:eastAsia="zh-CN"/>
        </w:rPr>
        <w:t>三、工作内容</w:t>
      </w:r>
    </w:p>
    <w:p>
      <w:pPr>
        <w:pStyle w:val="2"/>
        <w:spacing w:before="159" w:line="360" w:lineRule="auto"/>
        <w:ind w:left="234" w:right="373" w:firstLine="434"/>
        <w:rPr>
          <w:rFonts w:hint="default" w:ascii="宋体" w:hAnsi="宋体" w:eastAsia="宋体" w:cs="宋体"/>
          <w:spacing w:val="-6"/>
          <w:sz w:val="21"/>
          <w:szCs w:val="21"/>
        </w:rPr>
      </w:pPr>
      <w:r>
        <w:rPr>
          <w:rFonts w:hint="default" w:ascii="宋体" w:hAnsi="宋体" w:eastAsia="宋体" w:cs="宋体"/>
          <w:spacing w:val="-6"/>
          <w:sz w:val="21"/>
          <w:szCs w:val="21"/>
        </w:rPr>
        <w:t>光武镇废品收购站（点）综合整治项目，工作内容包含</w:t>
      </w:r>
      <w:r>
        <w:rPr>
          <w:rFonts w:hint="eastAsia" w:cs="宋体"/>
          <w:spacing w:val="-6"/>
          <w:sz w:val="21"/>
          <w:szCs w:val="21"/>
          <w:lang w:val="en-US" w:eastAsia="zh-CN"/>
        </w:rPr>
        <w:t>但不限于</w:t>
      </w:r>
      <w:r>
        <w:rPr>
          <w:rFonts w:hint="default" w:ascii="宋体" w:hAnsi="宋体" w:eastAsia="宋体" w:cs="宋体"/>
          <w:spacing w:val="-6"/>
          <w:sz w:val="21"/>
          <w:szCs w:val="21"/>
        </w:rPr>
        <w:t>：辖区内废品收购站（点）全面排查、登记造册、提供整治方案建议、后期复查</w:t>
      </w:r>
      <w:r>
        <w:rPr>
          <w:rFonts w:hint="eastAsia" w:cs="宋体"/>
          <w:spacing w:val="-6"/>
          <w:sz w:val="21"/>
          <w:szCs w:val="21"/>
          <w:lang w:val="en-US" w:eastAsia="zh-CN"/>
        </w:rPr>
        <w:t>等。</w:t>
      </w:r>
      <w:r>
        <w:rPr>
          <w:rFonts w:hint="default" w:ascii="宋体" w:hAnsi="宋体" w:eastAsia="宋体" w:cs="宋体"/>
          <w:spacing w:val="-6"/>
          <w:sz w:val="21"/>
          <w:szCs w:val="21"/>
        </w:rPr>
        <w:br w:type="page"/>
      </w:r>
    </w:p>
    <w:p>
      <w:pPr>
        <w:pStyle w:val="3"/>
        <w:tabs>
          <w:tab w:val="left" w:pos="1125"/>
        </w:tabs>
        <w:spacing w:line="360" w:lineRule="auto"/>
        <w:ind w:right="133"/>
        <w:jc w:val="center"/>
        <w:rPr>
          <w:rFonts w:ascii="宋体" w:hAnsi="宋体"/>
          <w:sz w:val="32"/>
          <w:szCs w:val="32"/>
        </w:rPr>
      </w:pPr>
      <w:bookmarkStart w:id="57" w:name="_Toc7003"/>
      <w:r>
        <w:rPr>
          <w:rFonts w:ascii="宋体" w:hAnsi="宋体"/>
          <w:sz w:val="32"/>
          <w:szCs w:val="32"/>
        </w:rPr>
        <w:t>第四章</w:t>
      </w:r>
      <w:r>
        <w:rPr>
          <w:rFonts w:ascii="宋体" w:hAnsi="宋体"/>
          <w:sz w:val="32"/>
          <w:szCs w:val="32"/>
        </w:rPr>
        <w:tab/>
      </w:r>
      <w:r>
        <w:rPr>
          <w:rFonts w:hint="eastAsia" w:ascii="宋体" w:hAnsi="宋体"/>
          <w:sz w:val="32"/>
          <w:szCs w:val="32"/>
        </w:rPr>
        <w:t xml:space="preserve"> </w:t>
      </w:r>
      <w:r>
        <w:rPr>
          <w:rFonts w:ascii="宋体" w:hAnsi="宋体"/>
          <w:sz w:val="32"/>
          <w:szCs w:val="32"/>
        </w:rPr>
        <w:t>评审方法和标准</w:t>
      </w:r>
      <w:bookmarkEnd w:id="57"/>
    </w:p>
    <w:p>
      <w:pPr>
        <w:pStyle w:val="6"/>
      </w:pPr>
      <w:r>
        <w:t>一、总则</w:t>
      </w:r>
    </w:p>
    <w:p>
      <w:pPr>
        <w:pStyle w:val="2"/>
        <w:spacing w:before="160" w:line="360" w:lineRule="auto"/>
        <w:ind w:left="671" w:right="413" w:hanging="3"/>
        <w:rPr>
          <w:sz w:val="21"/>
          <w:szCs w:val="21"/>
        </w:rPr>
      </w:pPr>
      <w:r>
        <w:rPr>
          <w:sz w:val="21"/>
          <w:szCs w:val="21"/>
        </w:rPr>
        <w:t>本项目将按照磋商文件第二章 供应商须知的相关要求及本章的规定评审。</w:t>
      </w:r>
    </w:p>
    <w:p>
      <w:pPr>
        <w:pStyle w:val="2"/>
        <w:spacing w:before="160" w:line="360" w:lineRule="auto"/>
        <w:ind w:left="671" w:right="413" w:hanging="3"/>
        <w:jc w:val="center"/>
        <w:rPr>
          <w:b/>
          <w:sz w:val="21"/>
          <w:szCs w:val="21"/>
        </w:rPr>
      </w:pPr>
      <w:r>
        <w:rPr>
          <w:rFonts w:cs="Times New Roman"/>
          <w:b/>
          <w:bCs/>
          <w:kern w:val="2"/>
          <w:sz w:val="21"/>
          <w:szCs w:val="21"/>
          <w:lang w:val="en-US" w:bidi="ar-SA"/>
        </w:rPr>
        <w:t>二、评审方法</w:t>
      </w:r>
    </w:p>
    <w:p>
      <w:pPr>
        <w:pStyle w:val="34"/>
        <w:numPr>
          <w:ilvl w:val="1"/>
          <w:numId w:val="17"/>
        </w:numPr>
        <w:tabs>
          <w:tab w:val="left" w:pos="1090"/>
        </w:tabs>
        <w:spacing w:before="5" w:line="360" w:lineRule="auto"/>
        <w:ind w:hanging="421"/>
        <w:rPr>
          <w:sz w:val="21"/>
          <w:szCs w:val="21"/>
        </w:rPr>
      </w:pPr>
      <w:r>
        <w:rPr>
          <w:sz w:val="21"/>
          <w:szCs w:val="21"/>
        </w:rPr>
        <w:t>初审</w:t>
      </w:r>
    </w:p>
    <w:p>
      <w:pPr>
        <w:pStyle w:val="2"/>
        <w:spacing w:before="159" w:line="360" w:lineRule="auto"/>
        <w:ind w:left="234" w:right="373" w:firstLine="434"/>
        <w:rPr>
          <w:sz w:val="21"/>
          <w:szCs w:val="21"/>
        </w:rPr>
      </w:pPr>
      <w:r>
        <w:rPr>
          <w:spacing w:val="-6"/>
          <w:sz w:val="21"/>
          <w:szCs w:val="21"/>
        </w:rPr>
        <w:t>磋商小组对供应商的响应文件进行初审，以确定其是否满足磋商文件的实质</w:t>
      </w:r>
      <w:r>
        <w:rPr>
          <w:sz w:val="21"/>
          <w:szCs w:val="21"/>
        </w:rPr>
        <w:t>性要求。初审表如下：</w:t>
      </w:r>
    </w:p>
    <w:tbl>
      <w:tblPr>
        <w:tblStyle w:val="18"/>
        <w:tblW w:w="8496"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763"/>
        <w:gridCol w:w="2149"/>
        <w:gridCol w:w="38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496" w:type="dxa"/>
            <w:gridSpan w:val="4"/>
            <w:shd w:val="clear" w:color="auto" w:fill="auto"/>
            <w:vAlign w:val="center"/>
          </w:tcPr>
          <w:p>
            <w:pPr>
              <w:pStyle w:val="46"/>
              <w:spacing w:before="28" w:line="360" w:lineRule="auto"/>
              <w:ind w:left="3870" w:right="3853"/>
              <w:jc w:val="center"/>
              <w:rPr>
                <w:b/>
                <w:sz w:val="21"/>
                <w:szCs w:val="21"/>
                <w:lang w:eastAsia="en-US"/>
              </w:rPr>
            </w:pPr>
            <w:r>
              <w:rPr>
                <w:b/>
                <w:sz w:val="21"/>
                <w:szCs w:val="21"/>
                <w:lang w:eastAsia="en-US"/>
              </w:rPr>
              <w:t>初审表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15" w:type="dxa"/>
            <w:shd w:val="clear" w:color="auto" w:fill="auto"/>
            <w:vAlign w:val="center"/>
          </w:tcPr>
          <w:p>
            <w:pPr>
              <w:pStyle w:val="46"/>
              <w:spacing w:line="360" w:lineRule="auto"/>
              <w:ind w:left="102" w:right="83"/>
              <w:jc w:val="center"/>
              <w:rPr>
                <w:sz w:val="21"/>
                <w:szCs w:val="21"/>
                <w:lang w:eastAsia="en-US"/>
              </w:rPr>
            </w:pPr>
            <w:r>
              <w:rPr>
                <w:sz w:val="21"/>
                <w:szCs w:val="21"/>
                <w:lang w:eastAsia="en-US"/>
              </w:rPr>
              <w:t>序号</w:t>
            </w:r>
          </w:p>
        </w:tc>
        <w:tc>
          <w:tcPr>
            <w:tcW w:w="1763" w:type="dxa"/>
            <w:shd w:val="clear" w:color="auto" w:fill="auto"/>
            <w:vAlign w:val="center"/>
          </w:tcPr>
          <w:p>
            <w:pPr>
              <w:pStyle w:val="46"/>
              <w:spacing w:line="360" w:lineRule="auto"/>
              <w:ind w:left="107" w:right="91"/>
              <w:jc w:val="center"/>
              <w:rPr>
                <w:sz w:val="21"/>
                <w:szCs w:val="21"/>
                <w:lang w:eastAsia="en-US"/>
              </w:rPr>
            </w:pPr>
            <w:r>
              <w:rPr>
                <w:sz w:val="21"/>
                <w:szCs w:val="21"/>
                <w:lang w:eastAsia="en-US"/>
              </w:rPr>
              <w:t>评审指标</w:t>
            </w:r>
          </w:p>
        </w:tc>
        <w:tc>
          <w:tcPr>
            <w:tcW w:w="2149" w:type="dxa"/>
            <w:tcBorders>
              <w:right w:val="single" w:color="000000" w:sz="6" w:space="0"/>
            </w:tcBorders>
            <w:shd w:val="clear" w:color="auto" w:fill="auto"/>
            <w:vAlign w:val="center"/>
          </w:tcPr>
          <w:p>
            <w:pPr>
              <w:pStyle w:val="46"/>
              <w:spacing w:line="360" w:lineRule="auto"/>
              <w:ind w:left="170" w:right="150"/>
              <w:jc w:val="center"/>
              <w:rPr>
                <w:sz w:val="21"/>
                <w:szCs w:val="21"/>
                <w:lang w:eastAsia="en-US"/>
              </w:rPr>
            </w:pPr>
            <w:r>
              <w:rPr>
                <w:sz w:val="21"/>
                <w:szCs w:val="21"/>
                <w:lang w:eastAsia="en-US"/>
              </w:rPr>
              <w:t>评审标准</w:t>
            </w:r>
          </w:p>
        </w:tc>
        <w:tc>
          <w:tcPr>
            <w:tcW w:w="3869" w:type="dxa"/>
            <w:tcBorders>
              <w:left w:val="single" w:color="000000" w:sz="6" w:space="0"/>
            </w:tcBorders>
            <w:shd w:val="clear" w:color="auto" w:fill="auto"/>
            <w:vAlign w:val="center"/>
          </w:tcPr>
          <w:p>
            <w:pPr>
              <w:pStyle w:val="46"/>
              <w:spacing w:line="360" w:lineRule="auto"/>
              <w:ind w:left="1095"/>
              <w:rPr>
                <w:sz w:val="21"/>
                <w:szCs w:val="21"/>
                <w:lang w:eastAsia="en-US"/>
              </w:rPr>
            </w:pPr>
            <w:r>
              <w:rPr>
                <w:sz w:val="21"/>
                <w:szCs w:val="21"/>
                <w:lang w:eastAsia="en-US"/>
              </w:rPr>
              <w:t>格式及材料要求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5" w:hRule="atLeast"/>
        </w:trPr>
        <w:tc>
          <w:tcPr>
            <w:tcW w:w="715" w:type="dxa"/>
            <w:shd w:val="clear" w:color="auto" w:fill="auto"/>
            <w:vAlign w:val="center"/>
          </w:tcPr>
          <w:p>
            <w:pPr>
              <w:pStyle w:val="46"/>
              <w:spacing w:line="360" w:lineRule="auto"/>
              <w:rPr>
                <w:sz w:val="21"/>
                <w:szCs w:val="21"/>
                <w:lang w:eastAsia="en-US"/>
              </w:rPr>
            </w:pPr>
          </w:p>
          <w:p>
            <w:pPr>
              <w:pStyle w:val="46"/>
              <w:spacing w:before="4" w:line="360" w:lineRule="auto"/>
              <w:rPr>
                <w:sz w:val="21"/>
                <w:szCs w:val="21"/>
                <w:lang w:eastAsia="en-US"/>
              </w:rPr>
            </w:pPr>
          </w:p>
          <w:p>
            <w:pPr>
              <w:pStyle w:val="46"/>
              <w:spacing w:line="360" w:lineRule="auto"/>
              <w:ind w:left="19"/>
              <w:jc w:val="center"/>
              <w:rPr>
                <w:sz w:val="21"/>
                <w:szCs w:val="21"/>
                <w:lang w:eastAsia="en-US"/>
              </w:rPr>
            </w:pPr>
            <w:r>
              <w:rPr>
                <w:sz w:val="21"/>
                <w:szCs w:val="21"/>
                <w:lang w:eastAsia="en-US"/>
              </w:rPr>
              <w:t>1</w:t>
            </w:r>
          </w:p>
        </w:tc>
        <w:tc>
          <w:tcPr>
            <w:tcW w:w="1763" w:type="dxa"/>
            <w:shd w:val="clear" w:color="auto" w:fill="auto"/>
            <w:vAlign w:val="center"/>
          </w:tcPr>
          <w:p>
            <w:pPr>
              <w:pStyle w:val="46"/>
              <w:spacing w:line="360" w:lineRule="auto"/>
              <w:rPr>
                <w:sz w:val="21"/>
                <w:szCs w:val="21"/>
                <w:lang w:eastAsia="en-US"/>
              </w:rPr>
            </w:pPr>
          </w:p>
          <w:p>
            <w:pPr>
              <w:pStyle w:val="46"/>
              <w:spacing w:before="6" w:line="360" w:lineRule="auto"/>
              <w:rPr>
                <w:sz w:val="21"/>
                <w:szCs w:val="21"/>
                <w:lang w:eastAsia="en-US"/>
              </w:rPr>
            </w:pPr>
          </w:p>
          <w:p>
            <w:pPr>
              <w:pStyle w:val="46"/>
              <w:spacing w:line="360" w:lineRule="auto"/>
              <w:ind w:left="107" w:right="91"/>
              <w:jc w:val="center"/>
              <w:rPr>
                <w:sz w:val="21"/>
                <w:szCs w:val="21"/>
                <w:lang w:eastAsia="en-US"/>
              </w:rPr>
            </w:pPr>
            <w:r>
              <w:rPr>
                <w:sz w:val="21"/>
                <w:szCs w:val="21"/>
                <w:lang w:eastAsia="en-US"/>
              </w:rPr>
              <w:t>营业执照</w:t>
            </w:r>
          </w:p>
        </w:tc>
        <w:tc>
          <w:tcPr>
            <w:tcW w:w="2149" w:type="dxa"/>
            <w:tcBorders>
              <w:right w:val="single" w:color="000000" w:sz="6" w:space="0"/>
            </w:tcBorders>
            <w:shd w:val="clear" w:color="auto" w:fill="auto"/>
            <w:vAlign w:val="center"/>
          </w:tcPr>
          <w:p>
            <w:pPr>
              <w:pStyle w:val="46"/>
              <w:spacing w:line="360" w:lineRule="auto"/>
              <w:rPr>
                <w:sz w:val="21"/>
                <w:szCs w:val="21"/>
                <w:lang w:eastAsia="en-US"/>
              </w:rPr>
            </w:pPr>
          </w:p>
          <w:p>
            <w:pPr>
              <w:pStyle w:val="46"/>
              <w:spacing w:before="6" w:line="360" w:lineRule="auto"/>
              <w:rPr>
                <w:sz w:val="21"/>
                <w:szCs w:val="21"/>
                <w:lang w:eastAsia="en-US"/>
              </w:rPr>
            </w:pPr>
          </w:p>
          <w:p>
            <w:pPr>
              <w:pStyle w:val="46"/>
              <w:spacing w:line="360" w:lineRule="auto"/>
              <w:ind w:left="170" w:right="150"/>
              <w:jc w:val="center"/>
              <w:rPr>
                <w:sz w:val="21"/>
                <w:szCs w:val="21"/>
                <w:lang w:eastAsia="en-US"/>
              </w:rPr>
            </w:pPr>
            <w:r>
              <w:rPr>
                <w:sz w:val="21"/>
                <w:szCs w:val="21"/>
                <w:lang w:eastAsia="en-US"/>
              </w:rPr>
              <w:t>合法有效</w:t>
            </w:r>
          </w:p>
        </w:tc>
        <w:tc>
          <w:tcPr>
            <w:tcW w:w="3869" w:type="dxa"/>
            <w:vMerge w:val="restart"/>
            <w:tcBorders>
              <w:left w:val="single" w:color="000000" w:sz="6" w:space="0"/>
            </w:tcBorders>
            <w:shd w:val="clear" w:color="auto" w:fill="auto"/>
            <w:vAlign w:val="center"/>
          </w:tcPr>
          <w:p>
            <w:pPr>
              <w:pStyle w:val="46"/>
              <w:spacing w:line="360" w:lineRule="auto"/>
              <w:ind w:left="106" w:right="-29"/>
              <w:rPr>
                <w:sz w:val="21"/>
                <w:szCs w:val="21"/>
                <w:lang w:eastAsia="en-US"/>
              </w:rPr>
            </w:pPr>
            <w:r>
              <w:rPr>
                <w:sz w:val="21"/>
                <w:szCs w:val="21"/>
              </w:rPr>
              <w:t>提供有效的供应商营业执照（或事业单位法人登记证书）和税务登记证的扫描件或影印件，应完整的体现出营业执照（或事业单位法人登记证书</w:t>
            </w:r>
            <w:r>
              <w:rPr>
                <w:spacing w:val="-70"/>
                <w:sz w:val="21"/>
                <w:szCs w:val="21"/>
              </w:rPr>
              <w:t>）</w:t>
            </w:r>
            <w:r>
              <w:rPr>
                <w:spacing w:val="-1"/>
                <w:sz w:val="21"/>
                <w:szCs w:val="21"/>
              </w:rPr>
              <w:t>和税务登记证的全部内容。</w:t>
            </w:r>
            <w:r>
              <w:rPr>
                <w:sz w:val="21"/>
                <w:szCs w:val="21"/>
              </w:rPr>
              <w:t>已办理“三证合一”登记的，响应文件中提供营业执照（或事业单位法人登记证书）扫描件即可。</w:t>
            </w:r>
            <w:r>
              <w:rPr>
                <w:sz w:val="21"/>
                <w:szCs w:val="21"/>
                <w:lang w:eastAsia="en-US"/>
              </w:rPr>
              <w:t>联合体参加磋商的联合体各方均须提供。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atLeast"/>
        </w:trPr>
        <w:tc>
          <w:tcPr>
            <w:tcW w:w="715" w:type="dxa"/>
            <w:shd w:val="clear" w:color="auto" w:fill="auto"/>
            <w:vAlign w:val="center"/>
          </w:tcPr>
          <w:p>
            <w:pPr>
              <w:pStyle w:val="46"/>
              <w:spacing w:line="360" w:lineRule="auto"/>
              <w:rPr>
                <w:sz w:val="21"/>
                <w:szCs w:val="21"/>
                <w:lang w:eastAsia="en-US"/>
              </w:rPr>
            </w:pPr>
          </w:p>
          <w:p>
            <w:pPr>
              <w:pStyle w:val="46"/>
              <w:spacing w:line="360" w:lineRule="auto"/>
              <w:rPr>
                <w:sz w:val="21"/>
                <w:szCs w:val="21"/>
                <w:lang w:eastAsia="en-US"/>
              </w:rPr>
            </w:pPr>
          </w:p>
          <w:p>
            <w:pPr>
              <w:pStyle w:val="46"/>
              <w:spacing w:line="360" w:lineRule="auto"/>
              <w:rPr>
                <w:sz w:val="21"/>
                <w:szCs w:val="21"/>
                <w:lang w:eastAsia="en-US"/>
              </w:rPr>
            </w:pPr>
          </w:p>
          <w:p>
            <w:pPr>
              <w:pStyle w:val="46"/>
              <w:spacing w:before="12" w:line="360" w:lineRule="auto"/>
              <w:rPr>
                <w:sz w:val="21"/>
                <w:szCs w:val="21"/>
                <w:lang w:eastAsia="en-US"/>
              </w:rPr>
            </w:pPr>
          </w:p>
          <w:p>
            <w:pPr>
              <w:pStyle w:val="46"/>
              <w:spacing w:line="360" w:lineRule="auto"/>
              <w:ind w:left="19"/>
              <w:jc w:val="center"/>
              <w:rPr>
                <w:sz w:val="21"/>
                <w:szCs w:val="21"/>
                <w:lang w:eastAsia="en-US"/>
              </w:rPr>
            </w:pPr>
            <w:r>
              <w:rPr>
                <w:sz w:val="21"/>
                <w:szCs w:val="21"/>
                <w:lang w:eastAsia="en-US"/>
              </w:rPr>
              <w:t>2</w:t>
            </w:r>
          </w:p>
        </w:tc>
        <w:tc>
          <w:tcPr>
            <w:tcW w:w="1763" w:type="dxa"/>
            <w:shd w:val="clear" w:color="auto" w:fill="auto"/>
            <w:vAlign w:val="center"/>
          </w:tcPr>
          <w:p>
            <w:pPr>
              <w:pStyle w:val="46"/>
              <w:spacing w:before="11" w:line="360" w:lineRule="auto"/>
              <w:rPr>
                <w:sz w:val="21"/>
                <w:szCs w:val="21"/>
                <w:lang w:eastAsia="en-US"/>
              </w:rPr>
            </w:pPr>
          </w:p>
          <w:p>
            <w:pPr>
              <w:pStyle w:val="46"/>
              <w:spacing w:before="1" w:line="360" w:lineRule="auto"/>
              <w:ind w:left="107" w:right="91"/>
              <w:jc w:val="center"/>
              <w:rPr>
                <w:sz w:val="21"/>
                <w:szCs w:val="21"/>
                <w:lang w:eastAsia="en-US"/>
              </w:rPr>
            </w:pPr>
            <w:r>
              <w:rPr>
                <w:sz w:val="21"/>
                <w:szCs w:val="21"/>
                <w:lang w:eastAsia="en-US"/>
              </w:rPr>
              <w:t>税务登记证</w:t>
            </w:r>
          </w:p>
        </w:tc>
        <w:tc>
          <w:tcPr>
            <w:tcW w:w="2149" w:type="dxa"/>
            <w:tcBorders>
              <w:right w:val="single" w:color="000000" w:sz="6" w:space="0"/>
            </w:tcBorders>
            <w:shd w:val="clear" w:color="auto" w:fill="auto"/>
            <w:vAlign w:val="center"/>
          </w:tcPr>
          <w:p>
            <w:pPr>
              <w:pStyle w:val="46"/>
              <w:spacing w:before="11" w:line="360" w:lineRule="auto"/>
              <w:rPr>
                <w:sz w:val="21"/>
                <w:szCs w:val="21"/>
                <w:lang w:eastAsia="en-US"/>
              </w:rPr>
            </w:pPr>
          </w:p>
          <w:p>
            <w:pPr>
              <w:pStyle w:val="46"/>
              <w:spacing w:before="1" w:line="360" w:lineRule="auto"/>
              <w:ind w:left="170" w:right="150"/>
              <w:jc w:val="center"/>
              <w:rPr>
                <w:sz w:val="21"/>
                <w:szCs w:val="21"/>
                <w:lang w:eastAsia="en-US"/>
              </w:rPr>
            </w:pPr>
            <w:r>
              <w:rPr>
                <w:sz w:val="21"/>
                <w:szCs w:val="21"/>
                <w:lang w:eastAsia="en-US"/>
              </w:rPr>
              <w:t>合法有效</w:t>
            </w:r>
          </w:p>
        </w:tc>
        <w:tc>
          <w:tcPr>
            <w:tcW w:w="3869" w:type="dxa"/>
            <w:vMerge w:val="continue"/>
            <w:tcBorders>
              <w:top w:val="nil"/>
              <w:left w:val="single" w:color="000000" w:sz="6" w:space="0"/>
            </w:tcBorders>
            <w:shd w:val="clear" w:color="auto" w:fill="auto"/>
            <w:vAlign w:val="center"/>
          </w:tcPr>
          <w:p>
            <w:pPr>
              <w:autoSpaceDE w:val="0"/>
              <w:autoSpaceDN w:val="0"/>
              <w:spacing w:line="360" w:lineRule="auto"/>
              <w:rPr>
                <w:rFonts w:ascii="宋体" w:hAnsi="宋体"/>
                <w:kern w:val="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15" w:type="dxa"/>
            <w:shd w:val="clear" w:color="auto" w:fill="auto"/>
            <w:vAlign w:val="center"/>
          </w:tcPr>
          <w:p>
            <w:pPr>
              <w:pStyle w:val="46"/>
              <w:spacing w:before="2" w:line="360" w:lineRule="auto"/>
              <w:rPr>
                <w:sz w:val="21"/>
                <w:szCs w:val="21"/>
              </w:rPr>
            </w:pPr>
          </w:p>
          <w:p>
            <w:pPr>
              <w:pStyle w:val="46"/>
              <w:spacing w:line="360" w:lineRule="auto"/>
              <w:ind w:left="19"/>
              <w:jc w:val="center"/>
              <w:rPr>
                <w:rFonts w:hint="eastAsia" w:eastAsia="宋体"/>
                <w:sz w:val="21"/>
                <w:szCs w:val="21"/>
                <w:lang w:eastAsia="zh-CN"/>
              </w:rPr>
            </w:pPr>
            <w:r>
              <w:rPr>
                <w:rFonts w:hint="eastAsia"/>
                <w:sz w:val="21"/>
                <w:szCs w:val="21"/>
                <w:lang w:val="en-US" w:eastAsia="zh-CN"/>
              </w:rPr>
              <w:t>3</w:t>
            </w:r>
          </w:p>
        </w:tc>
        <w:tc>
          <w:tcPr>
            <w:tcW w:w="1763" w:type="dxa"/>
            <w:shd w:val="clear" w:color="auto" w:fill="auto"/>
            <w:vAlign w:val="center"/>
          </w:tcPr>
          <w:p>
            <w:pPr>
              <w:pStyle w:val="46"/>
              <w:spacing w:before="209" w:line="360" w:lineRule="auto"/>
              <w:ind w:left="107" w:right="91"/>
              <w:jc w:val="center"/>
              <w:rPr>
                <w:sz w:val="21"/>
                <w:szCs w:val="21"/>
                <w:lang w:eastAsia="en-US"/>
              </w:rPr>
            </w:pPr>
            <w:r>
              <w:rPr>
                <w:sz w:val="21"/>
                <w:szCs w:val="21"/>
                <w:lang w:eastAsia="en-US"/>
              </w:rPr>
              <w:t>磋商响应函</w:t>
            </w:r>
          </w:p>
        </w:tc>
        <w:tc>
          <w:tcPr>
            <w:tcW w:w="2149" w:type="dxa"/>
            <w:tcBorders>
              <w:right w:val="single" w:color="000000" w:sz="6" w:space="0"/>
            </w:tcBorders>
            <w:shd w:val="clear" w:color="auto" w:fill="auto"/>
            <w:vAlign w:val="center"/>
          </w:tcPr>
          <w:p>
            <w:pPr>
              <w:pStyle w:val="46"/>
              <w:spacing w:line="360" w:lineRule="auto"/>
              <w:ind w:left="105"/>
              <w:rPr>
                <w:sz w:val="21"/>
                <w:szCs w:val="21"/>
              </w:rPr>
            </w:pPr>
            <w:r>
              <w:rPr>
                <w:spacing w:val="-14"/>
                <w:sz w:val="21"/>
                <w:szCs w:val="21"/>
              </w:rPr>
              <w:t>格式、填写要求符合</w:t>
            </w:r>
            <w:r>
              <w:rPr>
                <w:sz w:val="21"/>
                <w:szCs w:val="21"/>
              </w:rPr>
              <w:t>磋商文件规定并加盖供应商公章</w:t>
            </w:r>
          </w:p>
        </w:tc>
        <w:tc>
          <w:tcPr>
            <w:tcW w:w="3869" w:type="dxa"/>
            <w:tcBorders>
              <w:left w:val="single" w:color="000000" w:sz="6" w:space="0"/>
            </w:tcBorders>
            <w:shd w:val="clear" w:color="auto" w:fill="auto"/>
            <w:vAlign w:val="center"/>
          </w:tcPr>
          <w:p>
            <w:pPr>
              <w:pStyle w:val="46"/>
              <w:spacing w:before="2" w:line="360" w:lineRule="auto"/>
              <w:rPr>
                <w:sz w:val="21"/>
                <w:szCs w:val="21"/>
              </w:rPr>
            </w:pPr>
          </w:p>
          <w:p>
            <w:pPr>
              <w:pStyle w:val="46"/>
              <w:spacing w:line="360" w:lineRule="auto"/>
              <w:ind w:left="106"/>
              <w:rPr>
                <w:sz w:val="21"/>
                <w:szCs w:val="21"/>
              </w:rPr>
            </w:pPr>
            <w:r>
              <w:rPr>
                <w:sz w:val="21"/>
                <w:szCs w:val="21"/>
              </w:rPr>
              <w:t>详见第六章响应文件格式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715" w:type="dxa"/>
            <w:shd w:val="clear" w:color="auto" w:fill="auto"/>
            <w:vAlign w:val="center"/>
          </w:tcPr>
          <w:p>
            <w:pPr>
              <w:pStyle w:val="46"/>
              <w:spacing w:line="360" w:lineRule="auto"/>
              <w:rPr>
                <w:sz w:val="21"/>
                <w:szCs w:val="21"/>
              </w:rPr>
            </w:pPr>
          </w:p>
          <w:p>
            <w:pPr>
              <w:pStyle w:val="46"/>
              <w:spacing w:before="184" w:line="360" w:lineRule="auto"/>
              <w:ind w:left="19"/>
              <w:jc w:val="center"/>
              <w:rPr>
                <w:rFonts w:hint="eastAsia" w:eastAsia="宋体"/>
                <w:sz w:val="21"/>
                <w:szCs w:val="21"/>
                <w:lang w:eastAsia="zh-CN"/>
              </w:rPr>
            </w:pPr>
            <w:r>
              <w:rPr>
                <w:rFonts w:hint="eastAsia"/>
                <w:sz w:val="21"/>
                <w:szCs w:val="21"/>
                <w:lang w:val="en-US" w:eastAsia="zh-CN"/>
              </w:rPr>
              <w:t>4</w:t>
            </w:r>
          </w:p>
        </w:tc>
        <w:tc>
          <w:tcPr>
            <w:tcW w:w="1763" w:type="dxa"/>
            <w:shd w:val="clear" w:color="auto" w:fill="auto"/>
            <w:vAlign w:val="center"/>
          </w:tcPr>
          <w:p>
            <w:pPr>
              <w:pStyle w:val="46"/>
              <w:spacing w:line="360" w:lineRule="auto"/>
              <w:rPr>
                <w:sz w:val="21"/>
                <w:szCs w:val="21"/>
                <w:lang w:eastAsia="en-US"/>
              </w:rPr>
            </w:pPr>
          </w:p>
          <w:p>
            <w:pPr>
              <w:pStyle w:val="46"/>
              <w:spacing w:before="158" w:line="360" w:lineRule="auto"/>
              <w:ind w:left="107" w:right="91"/>
              <w:jc w:val="center"/>
              <w:rPr>
                <w:sz w:val="21"/>
                <w:szCs w:val="21"/>
                <w:lang w:eastAsia="en-US"/>
              </w:rPr>
            </w:pPr>
            <w:r>
              <w:rPr>
                <w:sz w:val="21"/>
                <w:szCs w:val="21"/>
                <w:lang w:eastAsia="en-US"/>
              </w:rPr>
              <w:t>磋商授权书</w:t>
            </w:r>
          </w:p>
        </w:tc>
        <w:tc>
          <w:tcPr>
            <w:tcW w:w="2149" w:type="dxa"/>
            <w:tcBorders>
              <w:right w:val="single" w:color="000000" w:sz="6" w:space="0"/>
            </w:tcBorders>
            <w:shd w:val="clear" w:color="auto" w:fill="auto"/>
            <w:vAlign w:val="center"/>
          </w:tcPr>
          <w:p>
            <w:pPr>
              <w:pStyle w:val="46"/>
              <w:spacing w:line="360" w:lineRule="auto"/>
              <w:ind w:left="172" w:right="83" w:hanging="68"/>
              <w:jc w:val="both"/>
              <w:rPr>
                <w:sz w:val="21"/>
                <w:szCs w:val="21"/>
              </w:rPr>
            </w:pPr>
            <w:r>
              <w:rPr>
                <w:spacing w:val="-16"/>
                <w:sz w:val="21"/>
                <w:szCs w:val="21"/>
              </w:rPr>
              <w:t>格式、填写要求符合</w:t>
            </w:r>
            <w:r>
              <w:rPr>
                <w:sz w:val="21"/>
                <w:szCs w:val="21"/>
              </w:rPr>
              <w:t>磋商文件规定并加盖供应商公章</w:t>
            </w:r>
          </w:p>
        </w:tc>
        <w:tc>
          <w:tcPr>
            <w:tcW w:w="3869" w:type="dxa"/>
            <w:tcBorders>
              <w:left w:val="single" w:color="000000" w:sz="6" w:space="0"/>
            </w:tcBorders>
            <w:shd w:val="clear" w:color="auto" w:fill="auto"/>
            <w:vAlign w:val="center"/>
          </w:tcPr>
          <w:p>
            <w:pPr>
              <w:pStyle w:val="46"/>
              <w:spacing w:before="23" w:line="360" w:lineRule="auto"/>
              <w:ind w:left="106" w:right="148"/>
              <w:jc w:val="both"/>
              <w:rPr>
                <w:sz w:val="21"/>
                <w:szCs w:val="21"/>
              </w:rPr>
            </w:pPr>
            <w:r>
              <w:rPr>
                <w:sz w:val="21"/>
                <w:szCs w:val="21"/>
              </w:rPr>
              <w:t>法定代表人参加磋商的无需此件， 提供身份证明即可。详见第六章响应文件格式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715" w:type="dxa"/>
            <w:shd w:val="clear" w:color="auto" w:fill="auto"/>
            <w:vAlign w:val="center"/>
          </w:tcPr>
          <w:p>
            <w:pPr>
              <w:pStyle w:val="46"/>
              <w:spacing w:line="360" w:lineRule="auto"/>
              <w:rPr>
                <w:sz w:val="21"/>
                <w:szCs w:val="21"/>
              </w:rPr>
            </w:pPr>
          </w:p>
          <w:p>
            <w:pPr>
              <w:pStyle w:val="46"/>
              <w:spacing w:before="184" w:line="360" w:lineRule="auto"/>
              <w:ind w:left="19"/>
              <w:jc w:val="center"/>
              <w:rPr>
                <w:rFonts w:hint="eastAsia" w:eastAsia="宋体"/>
                <w:sz w:val="21"/>
                <w:szCs w:val="21"/>
                <w:lang w:eastAsia="zh-CN"/>
              </w:rPr>
            </w:pPr>
            <w:r>
              <w:rPr>
                <w:rFonts w:hint="eastAsia"/>
                <w:sz w:val="21"/>
                <w:szCs w:val="21"/>
                <w:lang w:val="en-US" w:eastAsia="zh-CN"/>
              </w:rPr>
              <w:t>5</w:t>
            </w:r>
          </w:p>
        </w:tc>
        <w:tc>
          <w:tcPr>
            <w:tcW w:w="1763" w:type="dxa"/>
            <w:shd w:val="clear" w:color="auto" w:fill="auto"/>
            <w:vAlign w:val="center"/>
          </w:tcPr>
          <w:p>
            <w:pPr>
              <w:pStyle w:val="46"/>
              <w:spacing w:line="360" w:lineRule="auto"/>
              <w:rPr>
                <w:sz w:val="21"/>
                <w:szCs w:val="21"/>
                <w:lang w:eastAsia="en-US"/>
              </w:rPr>
            </w:pPr>
          </w:p>
          <w:p>
            <w:pPr>
              <w:pStyle w:val="46"/>
              <w:spacing w:before="158" w:line="360" w:lineRule="auto"/>
              <w:ind w:left="107" w:right="91"/>
              <w:jc w:val="center"/>
              <w:rPr>
                <w:sz w:val="21"/>
                <w:szCs w:val="21"/>
                <w:lang w:eastAsia="en-US"/>
              </w:rPr>
            </w:pPr>
            <w:r>
              <w:rPr>
                <w:sz w:val="21"/>
                <w:szCs w:val="21"/>
                <w:lang w:eastAsia="en-US"/>
              </w:rPr>
              <w:t>磋商报价</w:t>
            </w:r>
          </w:p>
        </w:tc>
        <w:tc>
          <w:tcPr>
            <w:tcW w:w="2149" w:type="dxa"/>
            <w:tcBorders>
              <w:right w:val="single" w:color="000000" w:sz="6" w:space="0"/>
            </w:tcBorders>
            <w:shd w:val="clear" w:color="auto" w:fill="auto"/>
            <w:vAlign w:val="center"/>
          </w:tcPr>
          <w:p>
            <w:pPr>
              <w:pStyle w:val="46"/>
              <w:spacing w:line="360" w:lineRule="auto"/>
              <w:ind w:left="141" w:right="121" w:firstLine="2"/>
              <w:jc w:val="center"/>
              <w:rPr>
                <w:sz w:val="21"/>
                <w:szCs w:val="21"/>
              </w:rPr>
            </w:pPr>
            <w:r>
              <w:rPr>
                <w:sz w:val="21"/>
                <w:szCs w:val="21"/>
              </w:rPr>
              <w:t>符合磋商文件</w:t>
            </w:r>
            <w:r>
              <w:rPr>
                <w:spacing w:val="-15"/>
                <w:sz w:val="21"/>
                <w:szCs w:val="21"/>
              </w:rPr>
              <w:t>要求</w:t>
            </w:r>
          </w:p>
        </w:tc>
        <w:tc>
          <w:tcPr>
            <w:tcW w:w="3869" w:type="dxa"/>
            <w:tcBorders>
              <w:left w:val="single" w:color="000000" w:sz="6" w:space="0"/>
            </w:tcBorders>
            <w:shd w:val="clear" w:color="auto" w:fill="auto"/>
            <w:vAlign w:val="center"/>
          </w:tcPr>
          <w:p>
            <w:pPr>
              <w:pStyle w:val="46"/>
              <w:spacing w:before="184" w:line="360" w:lineRule="auto"/>
              <w:rPr>
                <w:sz w:val="21"/>
                <w:szCs w:val="21"/>
              </w:rPr>
            </w:pPr>
            <w:r>
              <w:rPr>
                <w:sz w:val="21"/>
                <w:szCs w:val="21"/>
              </w:rPr>
              <w:t>详见第六章响应文件格式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715" w:type="dxa"/>
            <w:shd w:val="clear" w:color="auto" w:fill="auto"/>
            <w:vAlign w:val="center"/>
          </w:tcPr>
          <w:p>
            <w:pPr>
              <w:pStyle w:val="46"/>
              <w:spacing w:before="9" w:line="360" w:lineRule="auto"/>
              <w:rPr>
                <w:sz w:val="21"/>
                <w:szCs w:val="21"/>
              </w:rPr>
            </w:pPr>
          </w:p>
          <w:p>
            <w:pPr>
              <w:pStyle w:val="46"/>
              <w:spacing w:line="360" w:lineRule="auto"/>
              <w:ind w:left="19"/>
              <w:jc w:val="center"/>
              <w:rPr>
                <w:rFonts w:hint="eastAsia" w:eastAsia="宋体"/>
                <w:sz w:val="21"/>
                <w:szCs w:val="21"/>
                <w:lang w:eastAsia="zh-CN"/>
              </w:rPr>
            </w:pPr>
            <w:r>
              <w:rPr>
                <w:rFonts w:hint="eastAsia"/>
                <w:sz w:val="21"/>
                <w:szCs w:val="21"/>
                <w:lang w:val="en-US" w:eastAsia="zh-CN"/>
              </w:rPr>
              <w:t>6</w:t>
            </w:r>
          </w:p>
        </w:tc>
        <w:tc>
          <w:tcPr>
            <w:tcW w:w="1763" w:type="dxa"/>
            <w:shd w:val="clear" w:color="auto" w:fill="auto"/>
            <w:vAlign w:val="center"/>
          </w:tcPr>
          <w:p>
            <w:pPr>
              <w:pStyle w:val="46"/>
              <w:spacing w:line="360" w:lineRule="auto"/>
              <w:ind w:right="74"/>
              <w:rPr>
                <w:sz w:val="21"/>
                <w:szCs w:val="21"/>
                <w:lang w:eastAsia="en-US"/>
              </w:rPr>
            </w:pPr>
            <w:r>
              <w:rPr>
                <w:sz w:val="21"/>
                <w:szCs w:val="21"/>
                <w:lang w:eastAsia="en-US"/>
              </w:rPr>
              <w:t>商务响应情况</w:t>
            </w:r>
          </w:p>
        </w:tc>
        <w:tc>
          <w:tcPr>
            <w:tcW w:w="2149" w:type="dxa"/>
            <w:tcBorders>
              <w:right w:val="single" w:color="000000" w:sz="6" w:space="0"/>
            </w:tcBorders>
            <w:shd w:val="clear" w:color="auto" w:fill="auto"/>
            <w:vAlign w:val="center"/>
          </w:tcPr>
          <w:p>
            <w:pPr>
              <w:pStyle w:val="46"/>
              <w:spacing w:line="360" w:lineRule="auto"/>
              <w:ind w:left="105" w:right="83"/>
              <w:jc w:val="center"/>
              <w:rPr>
                <w:sz w:val="21"/>
                <w:szCs w:val="21"/>
              </w:rPr>
            </w:pPr>
            <w:r>
              <w:rPr>
                <w:sz w:val="21"/>
                <w:szCs w:val="21"/>
              </w:rPr>
              <w:t>符合磋商文件要求</w:t>
            </w:r>
          </w:p>
        </w:tc>
        <w:tc>
          <w:tcPr>
            <w:tcW w:w="3869" w:type="dxa"/>
            <w:tcBorders>
              <w:left w:val="single" w:color="000000" w:sz="6" w:space="0"/>
            </w:tcBorders>
            <w:shd w:val="clear" w:color="auto" w:fill="auto"/>
            <w:vAlign w:val="center"/>
          </w:tcPr>
          <w:p>
            <w:pPr>
              <w:pStyle w:val="46"/>
              <w:spacing w:line="360" w:lineRule="auto"/>
              <w:rPr>
                <w:sz w:val="21"/>
                <w:szCs w:val="21"/>
              </w:rPr>
            </w:pPr>
            <w:r>
              <w:rPr>
                <w:sz w:val="21"/>
                <w:szCs w:val="21"/>
              </w:rPr>
              <w:t>详见第六章响应文件格式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715" w:type="dxa"/>
            <w:shd w:val="clear" w:color="auto" w:fill="auto"/>
            <w:vAlign w:val="center"/>
          </w:tcPr>
          <w:p>
            <w:pPr>
              <w:pStyle w:val="46"/>
              <w:spacing w:line="360" w:lineRule="auto"/>
              <w:jc w:val="center"/>
              <w:rPr>
                <w:rFonts w:hint="default" w:eastAsia="宋体"/>
                <w:sz w:val="21"/>
                <w:szCs w:val="21"/>
                <w:lang w:val="en-US" w:eastAsia="zh-CN"/>
              </w:rPr>
            </w:pPr>
            <w:r>
              <w:rPr>
                <w:rFonts w:hint="eastAsia"/>
                <w:sz w:val="21"/>
                <w:szCs w:val="21"/>
                <w:lang w:val="en-US" w:eastAsia="zh-CN"/>
              </w:rPr>
              <w:t>7</w:t>
            </w:r>
          </w:p>
        </w:tc>
        <w:tc>
          <w:tcPr>
            <w:tcW w:w="1763" w:type="dxa"/>
            <w:shd w:val="clear" w:color="auto" w:fill="auto"/>
            <w:vAlign w:val="center"/>
          </w:tcPr>
          <w:p>
            <w:pPr>
              <w:pStyle w:val="46"/>
              <w:spacing w:line="360" w:lineRule="auto"/>
              <w:rPr>
                <w:sz w:val="21"/>
                <w:szCs w:val="21"/>
                <w:lang w:eastAsia="en-US"/>
              </w:rPr>
            </w:pPr>
            <w:r>
              <w:rPr>
                <w:rFonts w:hint="eastAsia"/>
                <w:sz w:val="21"/>
                <w:szCs w:val="21"/>
                <w:lang w:eastAsia="en-US"/>
              </w:rPr>
              <w:t>磋商保证金</w:t>
            </w:r>
          </w:p>
        </w:tc>
        <w:tc>
          <w:tcPr>
            <w:tcW w:w="2149" w:type="dxa"/>
            <w:tcBorders>
              <w:right w:val="single" w:color="000000" w:sz="6" w:space="0"/>
            </w:tcBorders>
            <w:shd w:val="clear" w:color="auto" w:fill="auto"/>
            <w:vAlign w:val="center"/>
          </w:tcPr>
          <w:p>
            <w:pPr>
              <w:pStyle w:val="46"/>
              <w:spacing w:line="360" w:lineRule="auto"/>
              <w:ind w:left="105" w:right="83"/>
              <w:jc w:val="center"/>
              <w:rPr>
                <w:sz w:val="21"/>
                <w:szCs w:val="21"/>
                <w:lang w:eastAsia="en-US"/>
              </w:rPr>
            </w:pPr>
            <w:r>
              <w:rPr>
                <w:rFonts w:hint="eastAsia"/>
                <w:sz w:val="21"/>
                <w:szCs w:val="21"/>
                <w:lang w:eastAsia="en-US"/>
              </w:rPr>
              <w:t>符合磋商文件要求</w:t>
            </w:r>
          </w:p>
        </w:tc>
        <w:tc>
          <w:tcPr>
            <w:tcW w:w="3869" w:type="dxa"/>
            <w:tcBorders>
              <w:left w:val="single" w:color="000000" w:sz="6" w:space="0"/>
            </w:tcBorders>
            <w:shd w:val="clear" w:color="auto" w:fill="auto"/>
            <w:vAlign w:val="center"/>
          </w:tcPr>
          <w:p>
            <w:pPr>
              <w:pStyle w:val="46"/>
              <w:spacing w:line="360" w:lineRule="auto"/>
              <w:rPr>
                <w:sz w:val="21"/>
                <w:szCs w:val="21"/>
                <w:lang w:val="en-US"/>
              </w:rPr>
            </w:pPr>
            <w:r>
              <w:rPr>
                <w:rFonts w:hint="eastAsia"/>
                <w:sz w:val="21"/>
                <w:szCs w:val="21"/>
                <w:lang w:val="en-US"/>
              </w:rPr>
              <w:t>提供磋商保证金转账凭证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9" w:hRule="atLeast"/>
        </w:trPr>
        <w:tc>
          <w:tcPr>
            <w:tcW w:w="715" w:type="dxa"/>
            <w:shd w:val="clear" w:color="auto" w:fill="auto"/>
            <w:vAlign w:val="center"/>
          </w:tcPr>
          <w:p>
            <w:pPr>
              <w:pStyle w:val="46"/>
              <w:spacing w:line="360" w:lineRule="auto"/>
              <w:rPr>
                <w:sz w:val="21"/>
                <w:szCs w:val="21"/>
              </w:rPr>
            </w:pPr>
          </w:p>
          <w:p>
            <w:pPr>
              <w:pStyle w:val="46"/>
              <w:spacing w:before="7" w:line="360" w:lineRule="auto"/>
              <w:rPr>
                <w:sz w:val="21"/>
                <w:szCs w:val="21"/>
              </w:rPr>
            </w:pPr>
          </w:p>
          <w:p>
            <w:pPr>
              <w:pStyle w:val="46"/>
              <w:spacing w:line="360" w:lineRule="auto"/>
              <w:ind w:left="102" w:right="83"/>
              <w:jc w:val="center"/>
              <w:rPr>
                <w:rFonts w:hint="default" w:eastAsia="宋体"/>
                <w:sz w:val="21"/>
                <w:szCs w:val="21"/>
                <w:lang w:val="en-US" w:eastAsia="zh-CN"/>
              </w:rPr>
            </w:pPr>
            <w:r>
              <w:rPr>
                <w:rFonts w:hint="eastAsia"/>
                <w:sz w:val="21"/>
                <w:szCs w:val="21"/>
                <w:lang w:val="en-US" w:eastAsia="zh-CN"/>
              </w:rPr>
              <w:t>8</w:t>
            </w:r>
          </w:p>
        </w:tc>
        <w:tc>
          <w:tcPr>
            <w:tcW w:w="1763" w:type="dxa"/>
            <w:shd w:val="clear" w:color="auto" w:fill="auto"/>
            <w:vAlign w:val="center"/>
          </w:tcPr>
          <w:p>
            <w:pPr>
              <w:pStyle w:val="46"/>
              <w:spacing w:line="360" w:lineRule="auto"/>
              <w:rPr>
                <w:sz w:val="21"/>
                <w:szCs w:val="21"/>
                <w:lang w:eastAsia="en-US"/>
              </w:rPr>
            </w:pPr>
          </w:p>
          <w:p>
            <w:pPr>
              <w:pStyle w:val="46"/>
              <w:spacing w:before="8" w:line="360" w:lineRule="auto"/>
              <w:rPr>
                <w:sz w:val="21"/>
                <w:szCs w:val="21"/>
                <w:lang w:eastAsia="en-US"/>
              </w:rPr>
            </w:pPr>
          </w:p>
          <w:p>
            <w:pPr>
              <w:pStyle w:val="46"/>
              <w:spacing w:line="360" w:lineRule="auto"/>
              <w:ind w:left="107" w:right="91"/>
              <w:jc w:val="center"/>
              <w:rPr>
                <w:sz w:val="21"/>
                <w:szCs w:val="21"/>
                <w:lang w:eastAsia="en-US"/>
              </w:rPr>
            </w:pPr>
            <w:r>
              <w:rPr>
                <w:sz w:val="21"/>
                <w:szCs w:val="21"/>
                <w:lang w:eastAsia="en-US"/>
              </w:rPr>
              <w:t>其他要求</w:t>
            </w:r>
          </w:p>
        </w:tc>
        <w:tc>
          <w:tcPr>
            <w:tcW w:w="2149" w:type="dxa"/>
            <w:tcBorders>
              <w:right w:val="single" w:color="000000" w:sz="6" w:space="0"/>
            </w:tcBorders>
            <w:shd w:val="clear" w:color="auto" w:fill="auto"/>
            <w:vAlign w:val="center"/>
          </w:tcPr>
          <w:p>
            <w:pPr>
              <w:pStyle w:val="46"/>
              <w:spacing w:line="360" w:lineRule="auto"/>
              <w:ind w:left="105" w:right="83"/>
              <w:jc w:val="center"/>
              <w:rPr>
                <w:sz w:val="21"/>
                <w:szCs w:val="21"/>
              </w:rPr>
            </w:pPr>
            <w:r>
              <w:rPr>
                <w:spacing w:val="-16"/>
                <w:sz w:val="21"/>
                <w:szCs w:val="21"/>
              </w:rPr>
              <w:t>符合法律、行政法规</w:t>
            </w:r>
            <w:r>
              <w:rPr>
                <w:sz w:val="21"/>
                <w:szCs w:val="21"/>
              </w:rPr>
              <w:t>规定的其他条件或磋商文件列明的其他要求</w:t>
            </w:r>
          </w:p>
        </w:tc>
        <w:tc>
          <w:tcPr>
            <w:tcW w:w="3869" w:type="dxa"/>
            <w:tcBorders>
              <w:left w:val="single" w:color="000000" w:sz="6" w:space="0"/>
            </w:tcBorders>
            <w:shd w:val="clear" w:color="auto" w:fill="auto"/>
            <w:vAlign w:val="center"/>
          </w:tcPr>
          <w:p>
            <w:pPr>
              <w:pStyle w:val="46"/>
              <w:spacing w:line="360" w:lineRule="auto"/>
              <w:rPr>
                <w:sz w:val="21"/>
                <w:szCs w:val="21"/>
              </w:rPr>
            </w:pPr>
            <w:r>
              <w:rPr>
                <w:rFonts w:hint="eastAsia"/>
                <w:sz w:val="21"/>
                <w:szCs w:val="21"/>
              </w:rPr>
              <w:t xml:space="preserve">    </w:t>
            </w:r>
          </w:p>
        </w:tc>
      </w:tr>
    </w:tbl>
    <w:p>
      <w:pPr>
        <w:spacing w:before="1" w:line="360" w:lineRule="auto"/>
        <w:ind w:left="669"/>
        <w:rPr>
          <w:rFonts w:ascii="宋体" w:hAnsi="宋体"/>
        </w:rPr>
      </w:pPr>
      <w:r>
        <w:rPr>
          <w:rFonts w:ascii="宋体" w:hAnsi="宋体"/>
          <w:b/>
        </w:rPr>
        <w:t>初审指标通过标准：</w:t>
      </w:r>
      <w:r>
        <w:rPr>
          <w:rFonts w:ascii="宋体" w:hAnsi="宋体"/>
        </w:rPr>
        <w:t>供应商必须通过初审表中的全部评审指标。</w:t>
      </w: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pStyle w:val="17"/>
        <w:rPr>
          <w:rFonts w:ascii="宋体" w:hAnsi="宋体"/>
        </w:rPr>
      </w:pPr>
    </w:p>
    <w:p>
      <w:pPr>
        <w:pStyle w:val="2"/>
        <w:rPr>
          <w:rFonts w:ascii="宋体" w:hAnsi="宋体"/>
        </w:rPr>
      </w:pPr>
    </w:p>
    <w:p>
      <w:pPr>
        <w:pStyle w:val="2"/>
        <w:rPr>
          <w:rFonts w:ascii="宋体" w:hAnsi="宋体"/>
        </w:rPr>
      </w:pPr>
    </w:p>
    <w:p>
      <w:pPr>
        <w:pStyle w:val="2"/>
        <w:rPr>
          <w:rFonts w:ascii="宋体" w:hAnsi="宋体"/>
        </w:rPr>
      </w:pPr>
    </w:p>
    <w:p>
      <w:pPr>
        <w:pStyle w:val="2"/>
        <w:rPr>
          <w:rFonts w:ascii="宋体" w:hAnsi="宋体"/>
        </w:rPr>
      </w:pPr>
    </w:p>
    <w:p>
      <w:pPr>
        <w:pStyle w:val="17"/>
        <w:rPr>
          <w:rFonts w:ascii="宋体" w:hAnsi="宋体"/>
        </w:rPr>
      </w:pPr>
    </w:p>
    <w:p>
      <w:pPr>
        <w:spacing w:before="1" w:line="360" w:lineRule="auto"/>
        <w:ind w:left="669"/>
        <w:rPr>
          <w:rFonts w:ascii="宋体" w:hAnsi="宋体"/>
        </w:rPr>
      </w:pPr>
    </w:p>
    <w:p>
      <w:pPr>
        <w:spacing w:before="1" w:line="360" w:lineRule="auto"/>
        <w:ind w:left="669"/>
        <w:rPr>
          <w:rFonts w:ascii="宋体" w:hAnsi="宋体"/>
        </w:rPr>
      </w:pPr>
    </w:p>
    <w:p>
      <w:pPr>
        <w:pStyle w:val="2"/>
        <w:rPr>
          <w:rFonts w:ascii="宋体" w:hAnsi="宋体"/>
        </w:rPr>
      </w:pPr>
    </w:p>
    <w:p>
      <w:pPr>
        <w:pStyle w:val="2"/>
        <w:rPr>
          <w:rFonts w:ascii="宋体" w:hAnsi="宋体"/>
        </w:rPr>
      </w:pPr>
    </w:p>
    <w:p>
      <w:pPr>
        <w:pStyle w:val="2"/>
        <w:rPr>
          <w:rFonts w:ascii="宋体" w:hAnsi="宋体"/>
        </w:rPr>
      </w:pPr>
    </w:p>
    <w:p>
      <w:pPr>
        <w:pStyle w:val="2"/>
        <w:rPr>
          <w:rFonts w:ascii="宋体" w:hAnsi="宋体"/>
        </w:rPr>
      </w:pPr>
    </w:p>
    <w:p>
      <w:pPr>
        <w:pStyle w:val="2"/>
        <w:rPr>
          <w:rFonts w:ascii="宋体" w:hAnsi="宋体"/>
        </w:rPr>
      </w:pPr>
    </w:p>
    <w:p>
      <w:pPr>
        <w:pStyle w:val="6"/>
        <w:numPr>
          <w:ilvl w:val="1"/>
          <w:numId w:val="17"/>
        </w:numPr>
      </w:pPr>
      <w:r>
        <w:rPr>
          <w:rFonts w:hint="eastAsia"/>
        </w:rPr>
        <w:t xml:space="preserve"> </w:t>
      </w:r>
      <w:r>
        <w:t>综合评分</w:t>
      </w:r>
    </w:p>
    <w:p>
      <w:pPr>
        <w:pStyle w:val="34"/>
        <w:numPr>
          <w:ilvl w:val="2"/>
          <w:numId w:val="17"/>
        </w:numPr>
        <w:tabs>
          <w:tab w:val="left" w:pos="1313"/>
        </w:tabs>
        <w:spacing w:before="158" w:line="360" w:lineRule="auto"/>
        <w:rPr>
          <w:sz w:val="21"/>
          <w:szCs w:val="21"/>
        </w:rPr>
      </w:pPr>
      <w:r>
        <w:rPr>
          <w:sz w:val="21"/>
          <w:szCs w:val="21"/>
        </w:rPr>
        <w:t>磋商小组按照下表对进入综合评分的所有供应商的响应文件进行综合</w:t>
      </w:r>
      <w:r>
        <w:rPr>
          <w:rFonts w:hint="eastAsia"/>
          <w:sz w:val="21"/>
          <w:szCs w:val="21"/>
        </w:rPr>
        <w:t>评分。</w:t>
      </w:r>
    </w:p>
    <w:p>
      <w:pPr>
        <w:pStyle w:val="34"/>
        <w:numPr>
          <w:ilvl w:val="2"/>
          <w:numId w:val="17"/>
        </w:numPr>
        <w:tabs>
          <w:tab w:val="left" w:pos="834"/>
          <w:tab w:val="left" w:pos="1330"/>
          <w:tab w:val="left" w:pos="4435"/>
        </w:tabs>
        <w:spacing w:before="160" w:after="6" w:line="360" w:lineRule="auto"/>
        <w:ind w:left="234" w:right="371" w:firstLine="434"/>
        <w:rPr>
          <w:sz w:val="21"/>
          <w:szCs w:val="21"/>
        </w:rPr>
      </w:pPr>
      <w:r>
        <w:rPr>
          <w:sz w:val="21"/>
          <w:szCs w:val="21"/>
        </w:rPr>
        <w:t>本项目综合评分满分为</w:t>
      </w:r>
      <w:r>
        <w:rPr>
          <w:spacing w:val="-60"/>
          <w:sz w:val="21"/>
          <w:szCs w:val="21"/>
        </w:rPr>
        <w:t xml:space="preserve"> </w:t>
      </w:r>
      <w:r>
        <w:rPr>
          <w:sz w:val="21"/>
          <w:szCs w:val="21"/>
        </w:rPr>
        <w:t>100</w:t>
      </w:r>
      <w:r>
        <w:rPr>
          <w:spacing w:val="-60"/>
          <w:sz w:val="21"/>
          <w:szCs w:val="21"/>
        </w:rPr>
        <w:t xml:space="preserve"> </w:t>
      </w:r>
      <w:r>
        <w:rPr>
          <w:sz w:val="21"/>
          <w:szCs w:val="21"/>
        </w:rPr>
        <w:t>分</w:t>
      </w:r>
      <w:r>
        <w:rPr>
          <w:spacing w:val="-8"/>
          <w:sz w:val="21"/>
          <w:szCs w:val="21"/>
        </w:rPr>
        <w:t>，</w:t>
      </w:r>
      <w:r>
        <w:rPr>
          <w:sz w:val="21"/>
          <w:szCs w:val="21"/>
        </w:rPr>
        <w:t>其中</w:t>
      </w:r>
      <w:r>
        <w:rPr>
          <w:spacing w:val="-10"/>
          <w:sz w:val="21"/>
          <w:szCs w:val="21"/>
        </w:rPr>
        <w:t>：</w:t>
      </w:r>
      <w:r>
        <w:rPr>
          <w:sz w:val="21"/>
          <w:szCs w:val="21"/>
        </w:rPr>
        <w:t>技术资信分值占总分值的权</w:t>
      </w:r>
      <w:r>
        <w:rPr>
          <w:spacing w:val="-15"/>
          <w:sz w:val="21"/>
          <w:szCs w:val="21"/>
        </w:rPr>
        <w:t>重</w:t>
      </w:r>
      <w:r>
        <w:rPr>
          <w:sz w:val="21"/>
          <w:szCs w:val="21"/>
        </w:rPr>
        <w:t>为</w:t>
      </w:r>
      <w:r>
        <w:rPr>
          <w:sz w:val="21"/>
          <w:szCs w:val="21"/>
          <w:u w:val="single"/>
        </w:rPr>
        <w:t xml:space="preserve"> </w:t>
      </w:r>
      <w:r>
        <w:rPr>
          <w:rFonts w:hint="eastAsia"/>
          <w:sz w:val="21"/>
          <w:szCs w:val="21"/>
          <w:u w:val="single"/>
          <w:lang w:val="en-US" w:eastAsia="zh-CN"/>
        </w:rPr>
        <w:t>9</w:t>
      </w:r>
      <w:r>
        <w:rPr>
          <w:rFonts w:hint="eastAsia"/>
          <w:sz w:val="21"/>
          <w:szCs w:val="21"/>
          <w:u w:val="single"/>
          <w:lang w:val="en-US"/>
        </w:rPr>
        <w:t>0</w:t>
      </w:r>
      <w:r>
        <w:rPr>
          <w:sz w:val="21"/>
          <w:szCs w:val="21"/>
        </w:rPr>
        <w:t>%，价格分值占总分值的权重为</w:t>
      </w:r>
      <w:r>
        <w:rPr>
          <w:rFonts w:hint="eastAsia"/>
          <w:sz w:val="21"/>
          <w:szCs w:val="21"/>
          <w:u w:val="single"/>
          <w:lang w:val="en-US" w:eastAsia="zh-CN"/>
        </w:rPr>
        <w:t>1</w:t>
      </w:r>
      <w:r>
        <w:rPr>
          <w:rFonts w:hint="eastAsia"/>
          <w:sz w:val="21"/>
          <w:szCs w:val="21"/>
          <w:u w:val="single"/>
          <w:lang w:val="en-US"/>
        </w:rPr>
        <w:t>0</w:t>
      </w:r>
      <w:r>
        <w:rPr>
          <w:sz w:val="21"/>
          <w:szCs w:val="21"/>
        </w:rPr>
        <w:t>%。具体评分细则如下：</w:t>
      </w:r>
    </w:p>
    <w:tbl>
      <w:tblPr>
        <w:tblStyle w:val="18"/>
        <w:tblW w:w="9292"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038"/>
        <w:gridCol w:w="7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1090" w:type="dxa"/>
            <w:vAlign w:val="center"/>
          </w:tcPr>
          <w:p>
            <w:pPr>
              <w:snapToGrid w:val="0"/>
              <w:spacing w:line="400" w:lineRule="exact"/>
              <w:jc w:val="center"/>
              <w:rPr>
                <w:rFonts w:ascii="宋体" w:hAnsi="宋体" w:cs="宋体"/>
                <w:bCs/>
              </w:rPr>
            </w:pPr>
            <w:r>
              <w:rPr>
                <w:rFonts w:hint="eastAsia" w:ascii="宋体" w:hAnsi="宋体" w:cs="宋体"/>
                <w:bCs/>
              </w:rPr>
              <w:t>评审内容</w:t>
            </w:r>
          </w:p>
        </w:tc>
        <w:tc>
          <w:tcPr>
            <w:tcW w:w="8202" w:type="dxa"/>
            <w:gridSpan w:val="2"/>
            <w:vAlign w:val="center"/>
          </w:tcPr>
          <w:p>
            <w:pPr>
              <w:snapToGrid w:val="0"/>
              <w:spacing w:line="400" w:lineRule="exact"/>
              <w:jc w:val="center"/>
              <w:rPr>
                <w:rFonts w:ascii="宋体" w:hAnsi="宋体" w:cs="宋体"/>
                <w:bCs/>
              </w:rPr>
            </w:pPr>
            <w:r>
              <w:rPr>
                <w:rFonts w:hint="eastAsia" w:ascii="宋体" w:hAnsi="宋体" w:cs="宋体"/>
                <w:bCs/>
              </w:rPr>
              <w:t>评审因素及分值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trPr>
        <w:tc>
          <w:tcPr>
            <w:tcW w:w="1090" w:type="dxa"/>
            <w:vMerge w:val="restart"/>
            <w:vAlign w:val="center"/>
          </w:tcPr>
          <w:p>
            <w:pPr>
              <w:snapToGrid w:val="0"/>
              <w:spacing w:line="400" w:lineRule="exact"/>
              <w:rPr>
                <w:rFonts w:hint="eastAsia" w:ascii="宋体" w:hAnsi="宋体" w:cs="宋体"/>
                <w:bCs/>
                <w:lang w:val="en-US" w:eastAsia="zh-CN"/>
              </w:rPr>
            </w:pPr>
            <w:r>
              <w:rPr>
                <w:rFonts w:hint="eastAsia" w:ascii="宋体" w:hAnsi="宋体" w:cs="宋体"/>
                <w:bCs/>
                <w:lang w:val="en-US" w:eastAsia="zh-CN"/>
              </w:rPr>
              <w:t>技术资信分</w:t>
            </w:r>
            <w:r>
              <w:rPr>
                <w:rFonts w:hint="eastAsia" w:ascii="宋体" w:hAnsi="宋体" w:cs="宋体"/>
                <w:bCs/>
              </w:rPr>
              <w:t>（</w:t>
            </w:r>
            <w:r>
              <w:rPr>
                <w:rFonts w:hint="eastAsia" w:ascii="宋体" w:hAnsi="宋体" w:cs="宋体"/>
                <w:bCs/>
                <w:lang w:val="en-US" w:eastAsia="zh-CN"/>
              </w:rPr>
              <w:t>9</w:t>
            </w:r>
            <w:r>
              <w:rPr>
                <w:rFonts w:hint="eastAsia" w:ascii="宋体" w:hAnsi="宋体" w:cs="宋体"/>
                <w:bCs/>
              </w:rPr>
              <w:t>0分）</w:t>
            </w:r>
          </w:p>
          <w:p>
            <w:pPr>
              <w:snapToGrid w:val="0"/>
              <w:spacing w:line="400" w:lineRule="exact"/>
              <w:rPr>
                <w:rFonts w:ascii="宋体" w:hAnsi="宋体" w:cs="宋体"/>
              </w:rPr>
            </w:pPr>
          </w:p>
          <w:p>
            <w:pPr>
              <w:snapToGrid w:val="0"/>
              <w:spacing w:line="400" w:lineRule="exact"/>
              <w:rPr>
                <w:rFonts w:ascii="宋体" w:hAnsi="宋体" w:cs="宋体"/>
              </w:rPr>
            </w:pPr>
          </w:p>
          <w:p>
            <w:pPr>
              <w:snapToGrid w:val="0"/>
              <w:spacing w:line="400" w:lineRule="exact"/>
              <w:rPr>
                <w:rFonts w:ascii="宋体" w:hAnsi="宋体" w:cs="宋体"/>
              </w:rPr>
            </w:pPr>
          </w:p>
          <w:p>
            <w:pPr>
              <w:snapToGrid w:val="0"/>
              <w:spacing w:line="400" w:lineRule="exact"/>
              <w:rPr>
                <w:rFonts w:ascii="宋体" w:hAnsi="宋体" w:cs="宋体"/>
              </w:rPr>
            </w:pPr>
          </w:p>
          <w:p>
            <w:pPr>
              <w:snapToGrid w:val="0"/>
              <w:spacing w:line="400" w:lineRule="exact"/>
              <w:rPr>
                <w:rFonts w:ascii="宋体" w:hAnsi="宋体" w:cs="宋体"/>
              </w:rPr>
            </w:pPr>
          </w:p>
          <w:p>
            <w:pPr>
              <w:snapToGrid w:val="0"/>
              <w:spacing w:line="400" w:lineRule="exact"/>
              <w:rPr>
                <w:rFonts w:ascii="宋体" w:hAnsi="宋体" w:cs="宋体"/>
              </w:rPr>
            </w:pPr>
          </w:p>
          <w:p>
            <w:pPr>
              <w:snapToGrid w:val="0"/>
              <w:spacing w:line="400" w:lineRule="exact"/>
              <w:rPr>
                <w:rFonts w:ascii="宋体" w:hAnsi="宋体" w:cs="宋体"/>
              </w:rPr>
            </w:pPr>
          </w:p>
        </w:tc>
        <w:tc>
          <w:tcPr>
            <w:tcW w:w="1038" w:type="dxa"/>
            <w:vAlign w:val="center"/>
          </w:tcPr>
          <w:p>
            <w:pPr>
              <w:snapToGrid w:val="0"/>
              <w:spacing w:line="400" w:lineRule="exact"/>
              <w:rPr>
                <w:rFonts w:ascii="宋体" w:hAnsi="宋体" w:cs="宋体"/>
                <w:bCs/>
              </w:rPr>
            </w:pPr>
            <w:r>
              <w:rPr>
                <w:rFonts w:hint="eastAsia" w:ascii="宋体" w:hAnsi="宋体" w:cs="宋体"/>
                <w:bCs/>
                <w:lang w:val="en-US" w:eastAsia="zh-CN"/>
              </w:rPr>
              <w:t>技术方案</w:t>
            </w:r>
            <w:r>
              <w:rPr>
                <w:rFonts w:hint="eastAsia" w:ascii="宋体" w:hAnsi="宋体" w:cs="宋体"/>
                <w:bCs/>
              </w:rPr>
              <w:t xml:space="preserve"> （</w:t>
            </w:r>
            <w:r>
              <w:rPr>
                <w:rFonts w:hint="eastAsia" w:ascii="宋体" w:hAnsi="宋体" w:cs="宋体"/>
                <w:bCs/>
                <w:lang w:val="en-US" w:eastAsia="zh-CN"/>
              </w:rPr>
              <w:t>20</w:t>
            </w:r>
            <w:r>
              <w:rPr>
                <w:rFonts w:hint="eastAsia" w:ascii="宋体" w:hAnsi="宋体" w:cs="宋体"/>
                <w:bCs/>
              </w:rPr>
              <w:t>分）</w:t>
            </w:r>
          </w:p>
        </w:tc>
        <w:tc>
          <w:tcPr>
            <w:tcW w:w="7164" w:type="dxa"/>
            <w:vAlign w:val="center"/>
          </w:tcPr>
          <w:p>
            <w:pPr>
              <w:snapToGrid w:val="0"/>
              <w:spacing w:line="400" w:lineRule="exact"/>
              <w:rPr>
                <w:rFonts w:ascii="宋体" w:hAnsi="宋体" w:cs="宋体"/>
                <w:bCs/>
              </w:rPr>
            </w:pPr>
            <w:r>
              <w:rPr>
                <w:rFonts w:ascii="宋体" w:hAnsi="宋体" w:cs="宋体"/>
                <w:bCs/>
              </w:rPr>
              <w:t>对本项目需求的理解和总体技术方案的阐述，提出的方案是否内容齐全、结构完整、质量控制措施完善、满足项目需要，综合比较方案是否具有科学性、合理性、可操作性等。</w:t>
            </w:r>
          </w:p>
          <w:p>
            <w:pPr>
              <w:snapToGrid w:val="0"/>
              <w:spacing w:line="400" w:lineRule="exact"/>
              <w:rPr>
                <w:rFonts w:ascii="宋体" w:hAnsi="宋体" w:cs="宋体"/>
                <w:bCs/>
              </w:rPr>
            </w:pPr>
            <w:r>
              <w:rPr>
                <w:rFonts w:ascii="宋体" w:hAnsi="宋体" w:cs="宋体"/>
                <w:bCs/>
              </w:rPr>
              <w:t>1、方案内容齐全、结构完整的， 得</w:t>
            </w:r>
            <w:r>
              <w:rPr>
                <w:rFonts w:hint="eastAsia" w:ascii="宋体" w:hAnsi="宋体" w:cs="宋体"/>
                <w:bCs/>
                <w:lang w:val="en-US" w:eastAsia="zh-CN"/>
              </w:rPr>
              <w:t>10</w:t>
            </w:r>
            <w:r>
              <w:rPr>
                <w:rFonts w:ascii="宋体" w:hAnsi="宋体" w:cs="宋体"/>
                <w:bCs/>
              </w:rPr>
              <w:t>分；方案内容基本齐全、结构</w:t>
            </w:r>
          </w:p>
          <w:p>
            <w:pPr>
              <w:snapToGrid w:val="0"/>
              <w:spacing w:line="400" w:lineRule="exact"/>
              <w:rPr>
                <w:rFonts w:ascii="宋体" w:hAnsi="宋体" w:cs="宋体"/>
                <w:bCs/>
              </w:rPr>
            </w:pPr>
            <w:r>
              <w:rPr>
                <w:rFonts w:ascii="宋体" w:hAnsi="宋体" w:cs="宋体"/>
                <w:bCs/>
              </w:rPr>
              <w:t>基本完整的，得</w:t>
            </w:r>
            <w:r>
              <w:rPr>
                <w:rFonts w:hint="eastAsia" w:ascii="宋体" w:hAnsi="宋体" w:cs="宋体"/>
                <w:bCs/>
                <w:lang w:val="en-US" w:eastAsia="zh-CN"/>
              </w:rPr>
              <w:t>6</w:t>
            </w:r>
            <w:r>
              <w:rPr>
                <w:rFonts w:ascii="宋体" w:hAnsi="宋体" w:cs="宋体"/>
                <w:bCs/>
              </w:rPr>
              <w:t>分；方案内容有缺失、结构不够完整的，得1分； 未提供方案不得分。</w:t>
            </w:r>
          </w:p>
          <w:p>
            <w:pPr>
              <w:snapToGrid w:val="0"/>
              <w:spacing w:line="400" w:lineRule="exact"/>
              <w:rPr>
                <w:rFonts w:ascii="宋体" w:hAnsi="宋体" w:cs="宋体"/>
                <w:bCs/>
              </w:rPr>
            </w:pPr>
            <w:r>
              <w:rPr>
                <w:rFonts w:ascii="宋体" w:hAnsi="宋体" w:cs="宋体"/>
                <w:bCs/>
              </w:rPr>
              <w:t>2、满足项目需要，具有很好的科学性和合理性，可操作性强的，得</w:t>
            </w:r>
            <w:r>
              <w:rPr>
                <w:rFonts w:hint="eastAsia" w:ascii="宋体" w:hAnsi="宋体" w:cs="宋体"/>
                <w:bCs/>
                <w:lang w:val="en-US" w:eastAsia="zh-CN"/>
              </w:rPr>
              <w:t>10</w:t>
            </w:r>
            <w:r>
              <w:rPr>
                <w:rFonts w:ascii="宋体" w:hAnsi="宋体" w:cs="宋体"/>
                <w:bCs/>
              </w:rPr>
              <w:t xml:space="preserve"> 分；基本满足项目需要，具有较好的科学性和合理性，基本具有可操作性的，得</w:t>
            </w:r>
            <w:r>
              <w:rPr>
                <w:rFonts w:hint="eastAsia" w:ascii="宋体" w:hAnsi="宋体" w:cs="宋体"/>
                <w:bCs/>
                <w:lang w:val="en-US" w:eastAsia="zh-CN"/>
              </w:rPr>
              <w:t>6</w:t>
            </w:r>
            <w:r>
              <w:rPr>
                <w:rFonts w:ascii="宋体" w:hAnsi="宋体" w:cs="宋体"/>
                <w:bCs/>
              </w:rPr>
              <w:t>分；基本满足项目需要，科学性和合理性较差，可操作性有待提升的，得1分；未提供方案不得分。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1090" w:type="dxa"/>
            <w:vMerge w:val="continue"/>
            <w:vAlign w:val="center"/>
          </w:tcPr>
          <w:p>
            <w:pPr>
              <w:snapToGrid w:val="0"/>
              <w:spacing w:line="400" w:lineRule="exact"/>
              <w:ind w:firstLine="420" w:firstLineChars="200"/>
              <w:rPr>
                <w:rFonts w:ascii="宋体" w:hAnsi="宋体" w:cs="宋体"/>
                <w:bCs/>
              </w:rPr>
            </w:pPr>
          </w:p>
        </w:tc>
        <w:tc>
          <w:tcPr>
            <w:tcW w:w="1038" w:type="dxa"/>
            <w:vAlign w:val="center"/>
          </w:tcPr>
          <w:p>
            <w:pPr>
              <w:snapToGrid w:val="0"/>
              <w:spacing w:line="400" w:lineRule="exact"/>
              <w:rPr>
                <w:rFonts w:ascii="宋体" w:hAnsi="宋体" w:cs="宋体"/>
                <w:bCs/>
              </w:rPr>
            </w:pPr>
            <w:r>
              <w:rPr>
                <w:rFonts w:hint="eastAsia" w:ascii="宋体" w:hAnsi="宋体" w:cs="宋体"/>
                <w:bCs/>
              </w:rPr>
              <w:t>项目负责人业绩（</w:t>
            </w:r>
            <w:r>
              <w:rPr>
                <w:rFonts w:hint="eastAsia" w:ascii="宋体" w:hAnsi="宋体" w:cs="宋体"/>
                <w:bCs/>
                <w:lang w:val="en-US" w:eastAsia="zh-CN"/>
              </w:rPr>
              <w:t>1</w:t>
            </w:r>
            <w:r>
              <w:rPr>
                <w:rFonts w:hint="eastAsia" w:ascii="宋体" w:hAnsi="宋体" w:cs="宋体"/>
                <w:bCs/>
              </w:rPr>
              <w:t>0分）</w:t>
            </w:r>
          </w:p>
        </w:tc>
        <w:tc>
          <w:tcPr>
            <w:tcW w:w="7164" w:type="dxa"/>
            <w:vAlign w:val="center"/>
          </w:tcPr>
          <w:p>
            <w:pPr>
              <w:snapToGrid w:val="0"/>
              <w:spacing w:line="400" w:lineRule="exact"/>
              <w:rPr>
                <w:rFonts w:hint="eastAsia" w:ascii="宋体" w:hAnsi="宋体" w:cs="宋体"/>
                <w:bCs/>
                <w:lang w:eastAsia="zh-CN"/>
              </w:rPr>
            </w:pPr>
            <w:r>
              <w:rPr>
                <w:rFonts w:hint="eastAsia" w:ascii="宋体" w:hAnsi="宋体" w:cs="宋体"/>
                <w:bCs/>
                <w:lang w:eastAsia="zh-CN"/>
              </w:rPr>
              <w:t>供应商为项目配备</w:t>
            </w:r>
            <w:r>
              <w:rPr>
                <w:rFonts w:hint="eastAsia" w:ascii="宋体" w:hAnsi="宋体" w:cs="宋体"/>
                <w:bCs/>
                <w:lang w:val="en-US" w:eastAsia="zh-CN"/>
              </w:rPr>
              <w:t>的项目负责人能力</w:t>
            </w:r>
            <w:r>
              <w:rPr>
                <w:rFonts w:hint="eastAsia" w:ascii="宋体" w:hAnsi="宋体" w:cs="宋体"/>
                <w:bCs/>
                <w:lang w:eastAsia="zh-CN"/>
              </w:rPr>
              <w:t>评分：</w:t>
            </w:r>
          </w:p>
          <w:p>
            <w:pPr>
              <w:snapToGrid w:val="0"/>
              <w:spacing w:line="400" w:lineRule="exact"/>
              <w:rPr>
                <w:rFonts w:hint="default" w:ascii="宋体" w:hAnsi="宋体" w:cs="宋体"/>
                <w:bCs/>
                <w:lang w:val="en-US" w:eastAsia="zh-CN"/>
              </w:rPr>
            </w:pPr>
            <w:r>
              <w:rPr>
                <w:rFonts w:hint="eastAsia" w:ascii="宋体" w:hAnsi="宋体" w:cs="宋体"/>
                <w:bCs/>
                <w:lang w:eastAsia="zh-CN"/>
              </w:rPr>
              <w:t>（</w:t>
            </w:r>
            <w:r>
              <w:rPr>
                <w:rFonts w:hint="eastAsia" w:ascii="宋体" w:hAnsi="宋体" w:cs="宋体"/>
                <w:bCs/>
                <w:lang w:val="en-US" w:eastAsia="zh-CN"/>
              </w:rPr>
              <w:t>1</w:t>
            </w:r>
            <w:r>
              <w:rPr>
                <w:rFonts w:hint="eastAsia" w:ascii="宋体" w:hAnsi="宋体" w:cs="宋体"/>
                <w:bCs/>
                <w:lang w:eastAsia="zh-CN"/>
              </w:rPr>
              <w:t>）</w:t>
            </w:r>
            <w:r>
              <w:rPr>
                <w:rFonts w:hint="eastAsia" w:ascii="宋体" w:hAnsi="宋体" w:cs="宋体"/>
                <w:bCs/>
                <w:lang w:val="en-US" w:eastAsia="zh-CN"/>
              </w:rPr>
              <w:t>项目负责人</w:t>
            </w:r>
            <w:r>
              <w:rPr>
                <w:rFonts w:ascii="宋体" w:hAnsi="宋体" w:cs="宋体"/>
                <w:bCs/>
              </w:rPr>
              <w:t>职称（此项满分</w:t>
            </w:r>
            <w:r>
              <w:rPr>
                <w:rFonts w:hint="eastAsia" w:ascii="宋体" w:hAnsi="宋体" w:cs="宋体"/>
                <w:bCs/>
                <w:lang w:val="en-US" w:eastAsia="zh-CN"/>
              </w:rPr>
              <w:t>10</w:t>
            </w:r>
            <w:r>
              <w:rPr>
                <w:rFonts w:ascii="宋体" w:hAnsi="宋体" w:cs="宋体"/>
                <w:bCs/>
              </w:rPr>
              <w:t xml:space="preserve"> 分）：①具有高级职称的得 </w:t>
            </w:r>
            <w:r>
              <w:rPr>
                <w:rFonts w:hint="eastAsia" w:ascii="宋体" w:hAnsi="宋体" w:cs="宋体"/>
                <w:bCs/>
                <w:lang w:val="en-US" w:eastAsia="zh-CN"/>
              </w:rPr>
              <w:t>10</w:t>
            </w:r>
          </w:p>
          <w:p>
            <w:pPr>
              <w:snapToGrid w:val="0"/>
              <w:spacing w:line="400" w:lineRule="exact"/>
              <w:rPr>
                <w:rFonts w:ascii="宋体" w:hAnsi="宋体" w:cs="宋体"/>
                <w:bCs/>
              </w:rPr>
            </w:pPr>
            <w:r>
              <w:rPr>
                <w:rFonts w:ascii="宋体" w:hAnsi="宋体" w:cs="宋体"/>
                <w:bCs/>
              </w:rPr>
              <w:t>分</w:t>
            </w:r>
            <w:r>
              <w:rPr>
                <w:rFonts w:hint="eastAsia" w:ascii="宋体" w:hAnsi="宋体" w:cs="宋体"/>
                <w:bCs/>
                <w:lang w:eastAsia="zh-CN"/>
              </w:rPr>
              <w:t>；</w:t>
            </w:r>
            <w:r>
              <w:rPr>
                <w:rFonts w:ascii="宋体" w:hAnsi="宋体" w:cs="宋体"/>
                <w:bCs/>
              </w:rPr>
              <w:t>②具有中级职称的得</w:t>
            </w:r>
            <w:r>
              <w:rPr>
                <w:rFonts w:hint="eastAsia" w:ascii="宋体" w:hAnsi="宋体" w:cs="宋体"/>
                <w:bCs/>
                <w:lang w:val="en-US" w:eastAsia="zh-CN"/>
              </w:rPr>
              <w:t>5</w:t>
            </w:r>
            <w:r>
              <w:rPr>
                <w:rFonts w:ascii="宋体" w:hAnsi="宋体" w:cs="宋体"/>
                <w:bCs/>
              </w:rPr>
              <w:t>分；④其他不得分；</w:t>
            </w:r>
          </w:p>
          <w:p>
            <w:pPr>
              <w:snapToGrid w:val="0"/>
              <w:spacing w:line="400" w:lineRule="exact"/>
              <w:rPr>
                <w:rFonts w:ascii="宋体" w:hAnsi="宋体" w:cs="宋体"/>
                <w:b/>
                <w:bCs w:val="0"/>
              </w:rPr>
            </w:pPr>
            <w:r>
              <w:rPr>
                <w:rFonts w:ascii="宋体" w:hAnsi="宋体" w:cs="宋体"/>
                <w:b/>
                <w:bCs w:val="0"/>
              </w:rPr>
              <w:t>注：响应文件中提供以下证明材料扫描件上传至电子标书内：①供应商为其缴纳近六个月</w:t>
            </w:r>
            <w:r>
              <w:rPr>
                <w:rFonts w:hint="eastAsia" w:ascii="宋体" w:hAnsi="宋体" w:cs="宋体"/>
                <w:b/>
                <w:bCs w:val="0"/>
                <w:lang w:val="en-US" w:eastAsia="zh-CN"/>
              </w:rPr>
              <w:t>内</w:t>
            </w:r>
            <w:r>
              <w:rPr>
                <w:rFonts w:ascii="宋体" w:hAnsi="宋体" w:cs="宋体"/>
                <w:b/>
                <w:bCs w:val="0"/>
              </w:rPr>
              <w:t>任意</w:t>
            </w:r>
            <w:r>
              <w:rPr>
                <w:rFonts w:hint="eastAsia" w:ascii="宋体" w:hAnsi="宋体" w:cs="宋体"/>
                <w:b/>
                <w:bCs w:val="0"/>
                <w:lang w:val="en-US" w:eastAsia="zh-CN"/>
              </w:rPr>
              <w:t>一</w:t>
            </w:r>
            <w:r>
              <w:rPr>
                <w:rFonts w:ascii="宋体" w:hAnsi="宋体" w:cs="宋体"/>
                <w:b/>
                <w:bCs w:val="0"/>
              </w:rPr>
              <w:t>个月社保的证明材料(机关事业单位退休人员需提供退休证明或相关单位出具的证明文件），社保证明材料形式详见供应商须知前附表（提供任意五险之一的社保缴纳证明即可）；③职称证书扫描件等证明材料。</w:t>
            </w:r>
          </w:p>
          <w:p>
            <w:pPr>
              <w:snapToGrid w:val="0"/>
              <w:spacing w:line="400" w:lineRule="exact"/>
              <w:rPr>
                <w:rFonts w:ascii="宋体" w:hAnsi="宋体" w:cs="宋体"/>
                <w:bCs/>
              </w:rPr>
            </w:pPr>
            <w:r>
              <w:rPr>
                <w:rFonts w:ascii="宋体" w:hAnsi="宋体" w:cs="宋体"/>
                <w:b/>
                <w:bCs w:val="0"/>
              </w:rPr>
              <w:t>以上材料提供扫描件，须能体现</w:t>
            </w:r>
            <w:r>
              <w:rPr>
                <w:rFonts w:hint="eastAsia" w:ascii="宋体" w:hAnsi="宋体" w:cs="宋体"/>
                <w:b/>
                <w:bCs w:val="0"/>
                <w:lang w:val="en-US" w:eastAsia="zh-CN"/>
              </w:rPr>
              <w:t>项目负责人</w:t>
            </w:r>
            <w:r>
              <w:rPr>
                <w:rFonts w:ascii="宋体" w:hAnsi="宋体" w:cs="宋体"/>
                <w:b/>
                <w:bCs w:val="0"/>
              </w:rPr>
              <w:t>名称，如无法体现，须另附颁奖单位的相关证明材料，未提供或提供不全的不得分。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90" w:type="dxa"/>
            <w:vMerge w:val="continue"/>
            <w:vAlign w:val="center"/>
          </w:tcPr>
          <w:p>
            <w:pPr>
              <w:snapToGrid w:val="0"/>
              <w:spacing w:line="400" w:lineRule="exact"/>
              <w:rPr>
                <w:rFonts w:ascii="宋体" w:hAnsi="宋体" w:cs="宋体"/>
              </w:rPr>
            </w:pPr>
          </w:p>
        </w:tc>
        <w:tc>
          <w:tcPr>
            <w:tcW w:w="1038" w:type="dxa"/>
            <w:vAlign w:val="center"/>
          </w:tcPr>
          <w:p>
            <w:pPr>
              <w:spacing w:line="400" w:lineRule="exact"/>
              <w:rPr>
                <w:rFonts w:ascii="宋体" w:hAnsi="宋体" w:cs="宋体"/>
              </w:rPr>
            </w:pPr>
            <w:r>
              <w:rPr>
                <w:rFonts w:hint="eastAsia" w:ascii="宋体" w:hAnsi="宋体" w:cs="宋体"/>
                <w:lang w:val="en-US" w:eastAsia="zh-CN"/>
              </w:rPr>
              <w:t>其他人员配备</w:t>
            </w:r>
            <w:r>
              <w:rPr>
                <w:rFonts w:hint="eastAsia" w:ascii="宋体" w:hAnsi="宋体" w:cs="宋体"/>
              </w:rPr>
              <w:t>（</w:t>
            </w:r>
            <w:r>
              <w:rPr>
                <w:rFonts w:hint="eastAsia" w:ascii="宋体" w:hAnsi="宋体" w:cs="宋体"/>
                <w:lang w:val="en-US" w:eastAsia="zh-CN"/>
              </w:rPr>
              <w:t>21</w:t>
            </w:r>
            <w:r>
              <w:rPr>
                <w:rFonts w:hint="eastAsia" w:ascii="宋体" w:hAnsi="宋体" w:cs="宋体"/>
              </w:rPr>
              <w:t>分）</w:t>
            </w:r>
          </w:p>
        </w:tc>
        <w:tc>
          <w:tcPr>
            <w:tcW w:w="7164" w:type="dxa"/>
            <w:vAlign w:val="center"/>
          </w:tcPr>
          <w:p>
            <w:pPr>
              <w:spacing w:line="400" w:lineRule="exact"/>
              <w:rPr>
                <w:rFonts w:ascii="宋体" w:hAnsi="宋体" w:cs="宋体"/>
                <w:highlight w:val="none"/>
              </w:rPr>
            </w:pPr>
            <w:r>
              <w:rPr>
                <w:rFonts w:ascii="宋体" w:hAnsi="宋体" w:cs="宋体"/>
                <w:highlight w:val="none"/>
              </w:rPr>
              <w:t>其他人员配备（不含前项授权签字人）：</w:t>
            </w:r>
          </w:p>
          <w:p>
            <w:pPr>
              <w:spacing w:line="400" w:lineRule="exact"/>
              <w:rPr>
                <w:rFonts w:ascii="宋体" w:hAnsi="宋体" w:cs="宋体"/>
              </w:rPr>
            </w:pPr>
            <w:r>
              <w:rPr>
                <w:rFonts w:ascii="宋体" w:hAnsi="宋体" w:cs="宋体"/>
              </w:rPr>
              <w:t>（1）技术人员配备：</w:t>
            </w:r>
          </w:p>
          <w:p>
            <w:pPr>
              <w:spacing w:line="400" w:lineRule="exact"/>
              <w:rPr>
                <w:rFonts w:ascii="宋体" w:hAnsi="宋体" w:cs="宋体"/>
              </w:rPr>
            </w:pPr>
            <w:r>
              <w:rPr>
                <w:rFonts w:ascii="宋体" w:hAnsi="宋体" w:cs="宋体"/>
              </w:rPr>
              <w:t>拟投入技术人员数量≥</w:t>
            </w:r>
            <w:r>
              <w:rPr>
                <w:rFonts w:hint="eastAsia" w:ascii="宋体" w:hAnsi="宋体" w:cs="宋体"/>
                <w:lang w:val="en-US" w:eastAsia="zh-CN"/>
              </w:rPr>
              <w:t>10</w:t>
            </w:r>
            <w:r>
              <w:rPr>
                <w:rFonts w:ascii="宋体" w:hAnsi="宋体" w:cs="宋体"/>
              </w:rPr>
              <w:t>人，得</w:t>
            </w:r>
            <w:r>
              <w:rPr>
                <w:rFonts w:hint="eastAsia" w:ascii="宋体" w:hAnsi="宋体" w:cs="宋体"/>
                <w:lang w:val="en-US" w:eastAsia="zh-CN"/>
              </w:rPr>
              <w:t>10</w:t>
            </w:r>
            <w:r>
              <w:rPr>
                <w:rFonts w:ascii="宋体" w:hAnsi="宋体" w:cs="宋体"/>
              </w:rPr>
              <w:t>分；</w:t>
            </w:r>
            <w:r>
              <w:rPr>
                <w:rFonts w:hint="eastAsia" w:ascii="宋体" w:hAnsi="宋体" w:cs="宋体"/>
                <w:highlight w:val="none"/>
                <w:lang w:val="en-US" w:eastAsia="zh-CN"/>
              </w:rPr>
              <w:t>5</w:t>
            </w:r>
            <w:r>
              <w:rPr>
                <w:rFonts w:ascii="宋体" w:hAnsi="宋体" w:cs="宋体"/>
                <w:highlight w:val="none"/>
              </w:rPr>
              <w:t>人≤检测人员数量＜</w:t>
            </w:r>
            <w:r>
              <w:rPr>
                <w:rFonts w:hint="eastAsia" w:ascii="宋体" w:hAnsi="宋体" w:cs="宋体"/>
                <w:highlight w:val="none"/>
                <w:lang w:val="en-US" w:eastAsia="zh-CN"/>
              </w:rPr>
              <w:t>10</w:t>
            </w:r>
            <w:r>
              <w:rPr>
                <w:rFonts w:ascii="宋体" w:hAnsi="宋体" w:cs="宋体"/>
                <w:highlight w:val="none"/>
              </w:rPr>
              <w:t>人，得</w:t>
            </w:r>
            <w:r>
              <w:rPr>
                <w:rFonts w:hint="eastAsia" w:ascii="宋体" w:hAnsi="宋体" w:cs="宋体"/>
                <w:highlight w:val="none"/>
                <w:lang w:val="en-US" w:eastAsia="zh-CN"/>
              </w:rPr>
              <w:t>5</w:t>
            </w:r>
            <w:r>
              <w:rPr>
                <w:rFonts w:ascii="宋体" w:hAnsi="宋体" w:cs="宋体"/>
                <w:highlight w:val="none"/>
              </w:rPr>
              <w:t>分</w:t>
            </w:r>
            <w:r>
              <w:rPr>
                <w:rFonts w:ascii="宋体" w:hAnsi="宋体" w:cs="宋体"/>
              </w:rPr>
              <w:t>；1人≤检测人员数量＜</w:t>
            </w:r>
            <w:r>
              <w:rPr>
                <w:rFonts w:hint="eastAsia" w:ascii="宋体" w:hAnsi="宋体" w:cs="宋体"/>
                <w:lang w:val="en-US" w:eastAsia="zh-CN"/>
              </w:rPr>
              <w:t>5</w:t>
            </w:r>
            <w:r>
              <w:rPr>
                <w:rFonts w:ascii="宋体" w:hAnsi="宋体" w:cs="宋体"/>
              </w:rPr>
              <w:t xml:space="preserve"> 人，得</w:t>
            </w:r>
            <w:r>
              <w:rPr>
                <w:rFonts w:hint="eastAsia" w:ascii="宋体" w:hAnsi="宋体" w:cs="宋体"/>
                <w:lang w:val="en-US" w:eastAsia="zh-CN"/>
              </w:rPr>
              <w:t>2</w:t>
            </w:r>
            <w:r>
              <w:rPr>
                <w:rFonts w:ascii="宋体" w:hAnsi="宋体" w:cs="宋体"/>
              </w:rPr>
              <w:t>分。未提供技术人员不得分。</w:t>
            </w:r>
          </w:p>
          <w:p>
            <w:pPr>
              <w:spacing w:line="400" w:lineRule="exact"/>
              <w:rPr>
                <w:rFonts w:ascii="宋体" w:hAnsi="宋体" w:cs="宋体"/>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ascii="宋体" w:hAnsi="宋体" w:cs="宋体"/>
              </w:rPr>
              <w:t>技术人员中配备2名及以上（含2名）具有检验检测机构资质认定评审资格的授权签字人， 得</w:t>
            </w:r>
            <w:r>
              <w:rPr>
                <w:rFonts w:hint="eastAsia" w:ascii="宋体" w:hAnsi="宋体" w:cs="宋体"/>
                <w:lang w:val="en-US" w:eastAsia="zh-CN"/>
              </w:rPr>
              <w:t>2</w:t>
            </w:r>
            <w:r>
              <w:rPr>
                <w:rFonts w:ascii="宋体" w:hAnsi="宋体" w:cs="宋体"/>
              </w:rPr>
              <w:t>分。</w:t>
            </w:r>
          </w:p>
          <w:p>
            <w:pPr>
              <w:spacing w:line="400" w:lineRule="exact"/>
              <w:rPr>
                <w:rFonts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2</w:t>
            </w:r>
            <w:r>
              <w:rPr>
                <w:rFonts w:hint="eastAsia" w:ascii="宋体" w:hAnsi="宋体" w:cs="宋体"/>
                <w:highlight w:val="none"/>
                <w:lang w:eastAsia="zh-CN"/>
              </w:rPr>
              <w:t>）</w:t>
            </w:r>
            <w:r>
              <w:rPr>
                <w:rFonts w:ascii="宋体" w:hAnsi="宋体" w:cs="宋体"/>
                <w:highlight w:val="none"/>
              </w:rPr>
              <w:t>技术人员中具有实验室</w:t>
            </w:r>
            <w:r>
              <w:rPr>
                <w:rFonts w:ascii="宋体" w:hAnsi="宋体" w:eastAsia="宋体" w:cs="宋体"/>
                <w:highlight w:val="none"/>
              </w:rPr>
              <w:t>内审员资格证书</w:t>
            </w:r>
            <w:r>
              <w:rPr>
                <w:rFonts w:ascii="宋体" w:hAnsi="宋体" w:cs="宋体"/>
                <w:highlight w:val="none"/>
              </w:rPr>
              <w:t>且在有效期内，每提供1个得</w:t>
            </w:r>
            <w:r>
              <w:rPr>
                <w:rFonts w:hint="eastAsia" w:ascii="宋体" w:hAnsi="宋体" w:cs="宋体"/>
                <w:highlight w:val="none"/>
                <w:lang w:val="en-US" w:eastAsia="zh-CN"/>
              </w:rPr>
              <w:t>1.5</w:t>
            </w:r>
            <w:r>
              <w:rPr>
                <w:rFonts w:ascii="宋体" w:hAnsi="宋体" w:cs="宋体"/>
                <w:highlight w:val="none"/>
              </w:rPr>
              <w:t>分，满分</w:t>
            </w:r>
            <w:r>
              <w:rPr>
                <w:rFonts w:hint="eastAsia" w:ascii="宋体" w:hAnsi="宋体" w:cs="宋体"/>
                <w:highlight w:val="none"/>
                <w:lang w:val="en-US" w:eastAsia="zh-CN"/>
              </w:rPr>
              <w:t>9</w:t>
            </w:r>
            <w:r>
              <w:rPr>
                <w:rFonts w:ascii="宋体" w:hAnsi="宋体" w:cs="宋体"/>
                <w:highlight w:val="none"/>
              </w:rPr>
              <w:t>分。</w:t>
            </w:r>
          </w:p>
          <w:p>
            <w:pPr>
              <w:spacing w:line="400" w:lineRule="exact"/>
              <w:rPr>
                <w:rFonts w:ascii="宋体" w:hAnsi="宋体" w:cs="宋体"/>
                <w:b/>
                <w:bCs/>
                <w:highlight w:val="none"/>
              </w:rPr>
            </w:pPr>
            <w:r>
              <w:rPr>
                <w:rFonts w:ascii="宋体" w:hAnsi="宋体" w:cs="宋体"/>
                <w:b/>
                <w:bCs/>
                <w:highlight w:val="none"/>
              </w:rPr>
              <w:t>注：响应文件中提供以下证明材料扫描件：</w:t>
            </w:r>
          </w:p>
          <w:p>
            <w:pPr>
              <w:spacing w:line="400" w:lineRule="exact"/>
              <w:rPr>
                <w:rFonts w:ascii="宋体" w:hAnsi="宋体" w:cs="宋体"/>
                <w:b/>
                <w:bCs/>
                <w:highlight w:val="none"/>
              </w:rPr>
            </w:pPr>
            <w:r>
              <w:rPr>
                <w:rFonts w:ascii="宋体" w:hAnsi="宋体" w:cs="宋体"/>
                <w:b/>
                <w:bCs/>
                <w:highlight w:val="none"/>
              </w:rPr>
              <w:t>①供应商为其缴纳近六个月</w:t>
            </w:r>
            <w:r>
              <w:rPr>
                <w:rFonts w:hint="eastAsia" w:ascii="宋体" w:hAnsi="宋体" w:cs="宋体"/>
                <w:b/>
                <w:bCs/>
                <w:highlight w:val="none"/>
                <w:lang w:val="en-US" w:eastAsia="zh-CN"/>
              </w:rPr>
              <w:t>内</w:t>
            </w:r>
            <w:r>
              <w:rPr>
                <w:rFonts w:ascii="宋体" w:hAnsi="宋体" w:cs="宋体"/>
                <w:b/>
                <w:bCs/>
                <w:highlight w:val="none"/>
              </w:rPr>
              <w:t>任意</w:t>
            </w:r>
            <w:r>
              <w:rPr>
                <w:rFonts w:hint="eastAsia" w:ascii="宋体" w:hAnsi="宋体" w:cs="宋体"/>
                <w:b/>
                <w:bCs/>
                <w:highlight w:val="none"/>
                <w:lang w:val="en-US" w:eastAsia="zh-CN"/>
              </w:rPr>
              <w:t>一</w:t>
            </w:r>
            <w:r>
              <w:rPr>
                <w:rFonts w:ascii="宋体" w:hAnsi="宋体" w:cs="宋体"/>
                <w:b/>
                <w:bCs/>
                <w:highlight w:val="none"/>
              </w:rPr>
              <w:t>个月社保的证明材料(机关事业单位退休人员需提供退休证明或相关单位出具的证明文件），社保证明材料形式详见供应商须知前附表（提供任意五险之一的社保缴纳证明即可）；</w:t>
            </w:r>
          </w:p>
          <w:p>
            <w:pPr>
              <w:spacing w:line="400" w:lineRule="exact"/>
              <w:rPr>
                <w:rFonts w:ascii="宋体" w:hAnsi="宋体" w:cs="宋体"/>
                <w:b/>
                <w:bCs/>
              </w:rPr>
            </w:pPr>
            <w:r>
              <w:rPr>
                <w:rFonts w:ascii="宋体" w:hAnsi="宋体" w:cs="宋体"/>
                <w:b/>
                <w:bCs/>
                <w:highlight w:val="none"/>
              </w:rPr>
              <w:t>②技术人员毕业证书或职称证书</w:t>
            </w:r>
            <w:r>
              <w:rPr>
                <w:rFonts w:ascii="宋体" w:hAnsi="宋体" w:cs="宋体"/>
                <w:b/>
                <w:bCs/>
              </w:rPr>
              <w:t>扫描件；</w:t>
            </w:r>
          </w:p>
          <w:p>
            <w:pPr>
              <w:spacing w:line="400" w:lineRule="exact"/>
              <w:rPr>
                <w:rFonts w:ascii="宋体" w:hAnsi="宋体" w:cs="宋体"/>
                <w:b/>
                <w:bCs/>
              </w:rPr>
            </w:pPr>
            <w:r>
              <w:rPr>
                <w:rFonts w:ascii="宋体" w:hAnsi="宋体" w:cs="宋体"/>
                <w:b/>
                <w:bCs/>
              </w:rPr>
              <w:t>③省级及以上部门颁发的检验检测机构资质认定评审资格证明（或官网公示截图及授权签字人证明文件）扫描件。</w:t>
            </w:r>
          </w:p>
          <w:p>
            <w:pPr>
              <w:spacing w:line="400" w:lineRule="exact"/>
              <w:rPr>
                <w:rFonts w:ascii="宋体" w:hAnsi="宋体" w:cs="宋体"/>
                <w:b/>
                <w:bCs/>
              </w:rPr>
            </w:pPr>
            <w:r>
              <w:rPr>
                <w:rFonts w:ascii="宋体" w:hAnsi="宋体" w:cs="宋体"/>
                <w:b/>
                <w:bCs/>
              </w:rPr>
              <w:t>④内审员证书扫描件，</w:t>
            </w:r>
          </w:p>
          <w:p>
            <w:pPr>
              <w:spacing w:line="400" w:lineRule="exact"/>
              <w:rPr>
                <w:rFonts w:ascii="宋体" w:hAnsi="宋体" w:cs="宋体"/>
              </w:rPr>
            </w:pPr>
            <w:r>
              <w:rPr>
                <w:rFonts w:ascii="宋体" w:hAnsi="宋体" w:cs="宋体"/>
                <w:b/>
                <w:bCs/>
              </w:rPr>
              <w:t>⑤培训合格证书扫描件</w:t>
            </w:r>
            <w:r>
              <w:rPr>
                <w:rFonts w:hint="eastAsia" w:ascii="宋体" w:hAnsi="宋体" w:cs="宋体"/>
                <w:b/>
                <w:bCs/>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trPr>
        <w:tc>
          <w:tcPr>
            <w:tcW w:w="1090" w:type="dxa"/>
            <w:vMerge w:val="continue"/>
            <w:vAlign w:val="center"/>
          </w:tcPr>
          <w:p>
            <w:pPr>
              <w:spacing w:before="100" w:beforeAutospacing="1" w:after="100" w:afterAutospacing="1" w:line="360" w:lineRule="auto"/>
              <w:jc w:val="center"/>
              <w:rPr>
                <w:rFonts w:ascii="宋体" w:hAnsi="宋体" w:cs="宋体"/>
              </w:rPr>
            </w:pPr>
          </w:p>
        </w:tc>
        <w:tc>
          <w:tcPr>
            <w:tcW w:w="1038" w:type="dxa"/>
            <w:vAlign w:val="center"/>
          </w:tcPr>
          <w:p>
            <w:pPr>
              <w:spacing w:line="400" w:lineRule="exact"/>
              <w:rPr>
                <w:rFonts w:ascii="宋体" w:hAnsi="宋体" w:cs="宋体"/>
              </w:rPr>
            </w:pPr>
            <w:r>
              <w:rPr>
                <w:rFonts w:hint="eastAsia" w:ascii="宋体" w:hAnsi="宋体" w:cs="宋体"/>
                <w:lang w:val="en-US" w:eastAsia="zh-CN"/>
              </w:rPr>
              <w:t>实验室实力</w:t>
            </w:r>
            <w:r>
              <w:rPr>
                <w:rFonts w:hint="eastAsia" w:ascii="宋体" w:hAnsi="宋体" w:cs="宋体"/>
              </w:rPr>
              <w:t xml:space="preserve"> （</w:t>
            </w:r>
            <w:r>
              <w:rPr>
                <w:rFonts w:hint="eastAsia" w:ascii="宋体" w:hAnsi="宋体" w:cs="宋体"/>
                <w:lang w:val="en-US" w:eastAsia="zh-CN"/>
              </w:rPr>
              <w:t>10</w:t>
            </w:r>
            <w:r>
              <w:rPr>
                <w:rFonts w:hint="eastAsia" w:ascii="宋体" w:hAnsi="宋体" w:cs="宋体"/>
              </w:rPr>
              <w:t>分）</w:t>
            </w:r>
          </w:p>
        </w:tc>
        <w:tc>
          <w:tcPr>
            <w:tcW w:w="7164" w:type="dxa"/>
            <w:vAlign w:val="center"/>
          </w:tcPr>
          <w:p>
            <w:pPr>
              <w:pStyle w:val="46"/>
              <w:numPr>
                <w:ilvl w:val="0"/>
                <w:numId w:val="18"/>
              </w:numPr>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供应商检测实验室分析测试能力通过验证情况（此项满分</w:t>
            </w:r>
            <w:r>
              <w:rPr>
                <w:rFonts w:hint="eastAsia"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w:t>
            </w:r>
          </w:p>
          <w:p>
            <w:pPr>
              <w:pStyle w:val="46"/>
              <w:numPr>
                <w:ilvl w:val="0"/>
                <w:numId w:val="0"/>
              </w:numPr>
              <w:spacing w:before="81" w:line="364" w:lineRule="auto"/>
              <w:ind w:right="97" w:right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自2019年1月1日以来，通过国家级及以上能力验证的，每通过1个得1分，满分</w:t>
            </w:r>
            <w:r>
              <w:rPr>
                <w:rFonts w:hint="eastAsia"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w:t>
            </w:r>
          </w:p>
          <w:p>
            <w:pPr>
              <w:pStyle w:val="46"/>
              <w:spacing w:before="81" w:line="364" w:lineRule="auto"/>
              <w:ind w:left="106" w:right="97"/>
              <w:jc w:val="both"/>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注：提供考核结果为满意的验证证明材料扫描件。</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2、供应商具备的检测设备：气相色谱仪、离子色谱仪、气相色谱-质谱联用仪、电感耦合等离子体发射光谱仪、示波极谱仪本项满分</w:t>
            </w:r>
            <w:r>
              <w:rPr>
                <w:rFonts w:hint="eastAsia"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分，少一项检测设备扣</w:t>
            </w:r>
            <w:r>
              <w:rPr>
                <w:rFonts w:hint="eastAsia"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分，扣完为止。</w:t>
            </w:r>
          </w:p>
          <w:p>
            <w:pPr>
              <w:pStyle w:val="46"/>
              <w:spacing w:before="81" w:line="364" w:lineRule="auto"/>
              <w:ind w:left="106" w:right="97"/>
              <w:jc w:val="both"/>
              <w:rPr>
                <w:rFonts w:ascii="宋体" w:hAnsi="宋体" w:cs="宋体"/>
                <w:highlight w:val="none"/>
              </w:rPr>
            </w:pPr>
            <w:r>
              <w:rPr>
                <w:rFonts w:hint="eastAsia" w:ascii="宋体" w:hAnsi="宋体" w:eastAsia="宋体" w:cs="宋体"/>
                <w:b/>
                <w:bCs/>
                <w:kern w:val="2"/>
                <w:sz w:val="21"/>
                <w:szCs w:val="21"/>
                <w:highlight w:val="none"/>
                <w:lang w:val="en-US" w:eastAsia="zh-CN" w:bidi="ar-SA"/>
              </w:rPr>
              <w:t>注：响应文件中提供</w:t>
            </w:r>
            <w:r>
              <w:rPr>
                <w:rFonts w:hint="eastAsia" w:cs="宋体"/>
                <w:b/>
                <w:bCs/>
                <w:kern w:val="2"/>
                <w:sz w:val="21"/>
                <w:szCs w:val="21"/>
                <w:highlight w:val="none"/>
                <w:lang w:val="en-US" w:eastAsia="zh-CN" w:bidi="ar-SA"/>
              </w:rPr>
              <w:t>证明文件</w:t>
            </w:r>
            <w:r>
              <w:rPr>
                <w:rFonts w:hint="eastAsia" w:ascii="宋体" w:hAnsi="宋体" w:eastAsia="宋体" w:cs="宋体"/>
                <w:b/>
                <w:bCs/>
                <w:kern w:val="2"/>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90" w:type="dxa"/>
            <w:vMerge w:val="continue"/>
            <w:vAlign w:val="center"/>
          </w:tcPr>
          <w:p>
            <w:pPr>
              <w:spacing w:before="100" w:beforeAutospacing="1" w:after="100" w:afterAutospacing="1" w:line="360" w:lineRule="auto"/>
              <w:jc w:val="center"/>
              <w:rPr>
                <w:rFonts w:ascii="宋体" w:hAnsi="宋体" w:cs="宋体"/>
              </w:rPr>
            </w:pPr>
          </w:p>
        </w:tc>
        <w:tc>
          <w:tcPr>
            <w:tcW w:w="1038" w:type="dxa"/>
            <w:vAlign w:val="center"/>
          </w:tcPr>
          <w:p>
            <w:pPr>
              <w:spacing w:line="400" w:lineRule="exact"/>
              <w:rPr>
                <w:rFonts w:ascii="宋体" w:hAnsi="宋体" w:cs="宋体"/>
              </w:rPr>
            </w:pPr>
            <w:r>
              <w:rPr>
                <w:rFonts w:hint="eastAsia" w:ascii="宋体" w:hAnsi="宋体" w:cs="宋体"/>
                <w:lang w:val="en-US" w:eastAsia="zh-CN"/>
              </w:rPr>
              <w:t>体系认证</w:t>
            </w:r>
            <w:r>
              <w:rPr>
                <w:rFonts w:hint="eastAsia" w:ascii="宋体" w:hAnsi="宋体" w:cs="宋体"/>
              </w:rPr>
              <w:t>（</w:t>
            </w:r>
            <w:r>
              <w:rPr>
                <w:rFonts w:hint="eastAsia" w:ascii="宋体" w:hAnsi="宋体" w:cs="宋体"/>
                <w:lang w:val="en-US" w:eastAsia="zh-CN"/>
              </w:rPr>
              <w:t>2</w:t>
            </w:r>
            <w:r>
              <w:rPr>
                <w:rFonts w:hint="eastAsia" w:ascii="宋体" w:hAnsi="宋体" w:cs="宋体"/>
              </w:rPr>
              <w:t>0分）</w:t>
            </w:r>
          </w:p>
        </w:tc>
        <w:tc>
          <w:tcPr>
            <w:tcW w:w="7164" w:type="dxa"/>
            <w:vAlign w:val="center"/>
          </w:tcPr>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供应商具有经中国国家认证认可监督管理委员会认证机构颁发有效的下列认证证书的：</w:t>
            </w:r>
            <w:r>
              <w:rPr>
                <w:rFonts w:hint="eastAsia" w:ascii="宋体" w:hAnsi="宋体" w:eastAsia="宋体" w:cs="宋体"/>
                <w:kern w:val="2"/>
                <w:sz w:val="21"/>
                <w:szCs w:val="21"/>
                <w:highlight w:val="none"/>
                <w:lang w:val="en-US" w:eastAsia="zh-CN" w:bidi="ar-SA"/>
              </w:rPr>
              <w:t xml:space="preserve"> </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1、质量管理体系认证，得4分； </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2、环境管理体系认证，得3分； </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3、职业健康安全管理体系认证，得3分； </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4、社会责任管理体系认证，得3分； </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5、诚信管理体系认证，得3分。</w:t>
            </w:r>
          </w:p>
          <w:p>
            <w:pPr>
              <w:pStyle w:val="46"/>
              <w:spacing w:before="81" w:line="364" w:lineRule="auto"/>
              <w:ind w:left="106" w:right="97"/>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6、高新技术企业，得4分。 </w:t>
            </w:r>
          </w:p>
          <w:p>
            <w:pPr>
              <w:pStyle w:val="46"/>
              <w:spacing w:before="81" w:line="364" w:lineRule="auto"/>
              <w:ind w:left="106" w:right="97"/>
              <w:jc w:val="both"/>
              <w:rPr>
                <w:rFonts w:ascii="宋体" w:hAnsi="宋体" w:cs="宋体"/>
                <w:highlight w:val="none"/>
              </w:rPr>
            </w:pPr>
            <w:r>
              <w:rPr>
                <w:rFonts w:hint="eastAsia" w:ascii="宋体" w:hAnsi="宋体" w:eastAsia="宋体" w:cs="宋体"/>
                <w:b/>
                <w:bCs/>
                <w:kern w:val="2"/>
                <w:sz w:val="21"/>
                <w:szCs w:val="21"/>
                <w:highlight w:val="none"/>
                <w:lang w:val="en-US" w:eastAsia="zh-CN" w:bidi="ar-SA"/>
              </w:rPr>
              <w:t>注：响应文件中须提供证书的扫描件或影印件，以及全国认证认可信息 公共服务平台网站证书信息查询截图。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90" w:type="dxa"/>
            <w:vMerge w:val="continue"/>
            <w:vAlign w:val="center"/>
          </w:tcPr>
          <w:p>
            <w:pPr>
              <w:spacing w:before="100" w:beforeAutospacing="1" w:after="100" w:afterAutospacing="1" w:line="360" w:lineRule="auto"/>
              <w:jc w:val="center"/>
              <w:rPr>
                <w:rFonts w:ascii="宋体" w:hAnsi="宋体" w:cs="宋体"/>
              </w:rPr>
            </w:pPr>
          </w:p>
        </w:tc>
        <w:tc>
          <w:tcPr>
            <w:tcW w:w="1038" w:type="dxa"/>
            <w:vAlign w:val="center"/>
          </w:tcPr>
          <w:p>
            <w:pPr>
              <w:spacing w:line="400" w:lineRule="exact"/>
              <w:rPr>
                <w:rFonts w:ascii="宋体" w:hAnsi="宋体" w:cs="宋体"/>
              </w:rPr>
            </w:pPr>
            <w:r>
              <w:rPr>
                <w:rFonts w:hint="eastAsia" w:ascii="宋体" w:hAnsi="宋体" w:cs="宋体"/>
                <w:highlight w:val="none"/>
                <w:lang w:val="en-US" w:eastAsia="zh-CN"/>
              </w:rPr>
              <w:t>车辆0-4</w:t>
            </w:r>
            <w:r>
              <w:rPr>
                <w:rFonts w:hint="eastAsia" w:ascii="宋体" w:hAnsi="宋体" w:cs="宋体"/>
                <w:highlight w:val="none"/>
              </w:rPr>
              <w:t>分）</w:t>
            </w:r>
          </w:p>
        </w:tc>
        <w:tc>
          <w:tcPr>
            <w:tcW w:w="7164" w:type="dxa"/>
            <w:vAlign w:val="center"/>
          </w:tcPr>
          <w:p>
            <w:pPr>
              <w:pStyle w:val="46"/>
              <w:spacing w:before="82" w:line="364" w:lineRule="auto"/>
              <w:ind w:left="106" w:right="23"/>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为本项目拟配备车辆，每提供一辆得1分，满分4分。</w:t>
            </w:r>
          </w:p>
          <w:p>
            <w:pPr>
              <w:pStyle w:val="46"/>
              <w:spacing w:before="1"/>
              <w:ind w:left="106"/>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注：响应文件中提供车辆有效行驶证或登记证的扫描件，提供材料须能体现供应商名称等信息。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4" w:hRule="atLeast"/>
        </w:trPr>
        <w:tc>
          <w:tcPr>
            <w:tcW w:w="1090" w:type="dxa"/>
            <w:vAlign w:val="center"/>
          </w:tcPr>
          <w:p>
            <w:pPr>
              <w:spacing w:before="100" w:beforeAutospacing="1" w:after="100" w:afterAutospacing="1" w:line="360" w:lineRule="auto"/>
              <w:jc w:val="center"/>
              <w:rPr>
                <w:rFonts w:hint="eastAsia" w:ascii="宋体" w:hAnsi="宋体" w:cs="宋体"/>
                <w:lang w:val="en-US" w:eastAsia="zh-CN"/>
              </w:rPr>
            </w:pPr>
          </w:p>
        </w:tc>
        <w:tc>
          <w:tcPr>
            <w:tcW w:w="1038" w:type="dxa"/>
            <w:vAlign w:val="center"/>
          </w:tcPr>
          <w:p>
            <w:pPr>
              <w:tabs>
                <w:tab w:val="left" w:pos="3078"/>
              </w:tabs>
              <w:spacing w:line="400" w:lineRule="exact"/>
              <w:rPr>
                <w:rFonts w:hint="eastAsia" w:ascii="宋体" w:hAnsi="宋体" w:eastAsia="宋体" w:cs="宋体"/>
                <w:lang w:eastAsia="zh-CN"/>
              </w:rPr>
            </w:pPr>
            <w:r>
              <w:rPr>
                <w:rFonts w:hint="eastAsia" w:ascii="宋体" w:hAnsi="宋体" w:cs="宋体"/>
                <w:lang w:val="en-US" w:eastAsia="zh-CN"/>
              </w:rPr>
              <w:t>业绩（0-5分</w:t>
            </w:r>
            <w:r>
              <w:rPr>
                <w:rFonts w:hint="eastAsia" w:ascii="宋体" w:hAnsi="宋体" w:cs="宋体"/>
                <w:lang w:eastAsia="zh-CN"/>
              </w:rPr>
              <w:tab/>
            </w:r>
          </w:p>
        </w:tc>
        <w:tc>
          <w:tcPr>
            <w:tcW w:w="7164" w:type="dxa"/>
            <w:vAlign w:val="center"/>
          </w:tcPr>
          <w:p>
            <w:pPr>
              <w:pStyle w:val="46"/>
              <w:spacing w:before="81" w:line="364" w:lineRule="auto"/>
              <w:ind w:left="106" w:right="97"/>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自2019年1月1日以来（以合同签订时间为准），供应商具有土壤调查类、地下水、地表水调查或检测项目</w:t>
            </w:r>
            <w:r>
              <w:rPr>
                <w:rFonts w:hint="eastAsia" w:cs="宋体"/>
                <w:kern w:val="2"/>
                <w:sz w:val="21"/>
                <w:szCs w:val="21"/>
                <w:lang w:val="en-US" w:eastAsia="zh-CN" w:bidi="ar-SA"/>
              </w:rPr>
              <w:t>等类似</w:t>
            </w:r>
            <w:r>
              <w:rPr>
                <w:rFonts w:hint="eastAsia" w:ascii="宋体" w:hAnsi="宋体" w:eastAsia="宋体" w:cs="宋体"/>
                <w:kern w:val="2"/>
                <w:sz w:val="21"/>
                <w:szCs w:val="21"/>
                <w:lang w:val="en-US" w:eastAsia="zh-CN" w:bidi="ar-SA"/>
              </w:rPr>
              <w:t>业绩的，每个业绩2.5分，满分 5分。</w:t>
            </w:r>
          </w:p>
          <w:p>
            <w:pPr>
              <w:tabs>
                <w:tab w:val="left" w:pos="3078"/>
              </w:tabs>
              <w:spacing w:line="400" w:lineRule="exac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注</w:t>
            </w:r>
            <w:r>
              <w:rPr>
                <w:rFonts w:hint="eastAsia" w:ascii="宋体" w:hAnsi="宋体" w:eastAsia="宋体" w:cs="宋体"/>
                <w:b/>
                <w:bCs/>
                <w:kern w:val="2"/>
                <w:sz w:val="21"/>
                <w:szCs w:val="21"/>
                <w:lang w:val="en-US" w:eastAsia="zh-CN" w:bidi="ar-SA"/>
              </w:rPr>
              <w:t>：响应文件中提供业绩合同扫描件，如合同无法体现合同签订时间、项目类型等内容，须另附业主证明等相关证明材料扫描件。（正在履约或履约完成的业绩均认可）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90" w:type="dxa"/>
            <w:vAlign w:val="center"/>
          </w:tcPr>
          <w:p>
            <w:pPr>
              <w:spacing w:before="100" w:beforeAutospacing="1" w:after="100" w:afterAutospacing="1" w:line="360" w:lineRule="auto"/>
              <w:jc w:val="center"/>
              <w:rPr>
                <w:rFonts w:hint="eastAsia" w:ascii="宋体" w:hAnsi="宋体" w:eastAsia="宋体" w:cs="宋体"/>
                <w:lang w:val="en-US" w:eastAsia="zh-CN"/>
              </w:rPr>
            </w:pPr>
            <w:r>
              <w:rPr>
                <w:rFonts w:hint="eastAsia" w:ascii="宋体" w:hAnsi="宋体" w:cs="宋体"/>
                <w:lang w:val="en-US" w:eastAsia="zh-CN"/>
              </w:rPr>
              <w:t>价格分</w:t>
            </w:r>
            <w:r>
              <w:rPr>
                <w:sz w:val="21"/>
                <w:szCs w:val="21"/>
                <w:lang w:eastAsia="en-US"/>
              </w:rPr>
              <w:t>（</w:t>
            </w:r>
            <w:r>
              <w:rPr>
                <w:rFonts w:hint="eastAsia"/>
                <w:sz w:val="21"/>
                <w:szCs w:val="21"/>
                <w:u w:val="single"/>
                <w:lang w:val="en-US" w:eastAsia="zh-CN"/>
              </w:rPr>
              <w:t>1</w:t>
            </w:r>
            <w:r>
              <w:rPr>
                <w:rFonts w:hint="eastAsia"/>
                <w:sz w:val="21"/>
                <w:szCs w:val="21"/>
                <w:u w:val="single"/>
                <w:lang w:val="en-US"/>
              </w:rPr>
              <w:t>0</w:t>
            </w:r>
            <w:r>
              <w:rPr>
                <w:rFonts w:hint="eastAsia"/>
                <w:sz w:val="21"/>
                <w:szCs w:val="21"/>
                <w:u w:val="single"/>
                <w:lang w:val="en-US" w:eastAsia="zh-CN"/>
              </w:rPr>
              <w:t>分</w:t>
            </w:r>
            <w:r>
              <w:rPr>
                <w:sz w:val="21"/>
                <w:szCs w:val="21"/>
                <w:lang w:eastAsia="en-US"/>
              </w:rPr>
              <w:t>）</w:t>
            </w:r>
          </w:p>
        </w:tc>
        <w:tc>
          <w:tcPr>
            <w:tcW w:w="8202" w:type="dxa"/>
            <w:gridSpan w:val="2"/>
            <w:vAlign w:val="center"/>
          </w:tcPr>
          <w:p>
            <w:pPr>
              <w:spacing w:line="400" w:lineRule="exact"/>
              <w:rPr>
                <w:rFonts w:hint="eastAsia" w:ascii="宋体" w:hAnsi="宋体" w:cs="宋体"/>
              </w:rPr>
            </w:pPr>
            <w:r>
              <w:rPr>
                <w:rFonts w:hint="eastAsia" w:ascii="宋体" w:hAnsi="宋体" w:cs="宋体"/>
              </w:rPr>
              <w:t>价格分统一采用低价优先法，即满足磋商文件要求且价格最低的最后报价为评标基准价，其价格分为满分</w:t>
            </w:r>
            <w:r>
              <w:rPr>
                <w:rFonts w:hint="eastAsia" w:ascii="宋体" w:hAnsi="宋体" w:cs="宋体"/>
                <w:lang w:val="en-US" w:eastAsia="zh-CN"/>
              </w:rPr>
              <w:t>1</w:t>
            </w:r>
            <w:r>
              <w:rPr>
                <w:rFonts w:hint="eastAsia" w:ascii="宋体" w:hAnsi="宋体" w:cs="宋体"/>
              </w:rPr>
              <w:t>0分。其他供应商的价格分统一按照下列公式计算：</w:t>
            </w:r>
          </w:p>
          <w:p>
            <w:pPr>
              <w:spacing w:line="400" w:lineRule="exact"/>
              <w:rPr>
                <w:rFonts w:hint="eastAsia" w:ascii="宋体" w:hAnsi="宋体" w:cs="宋体"/>
              </w:rPr>
            </w:pPr>
            <w:r>
              <w:rPr>
                <w:rFonts w:hint="eastAsia" w:ascii="宋体" w:hAnsi="宋体" w:cs="宋体"/>
              </w:rPr>
              <w:t xml:space="preserve">最后报价得分＝（评标基准价/最后报价）× </w:t>
            </w:r>
            <w:r>
              <w:rPr>
                <w:rFonts w:hint="eastAsia" w:ascii="宋体" w:hAnsi="宋体" w:cs="宋体"/>
                <w:lang w:val="en-US" w:eastAsia="zh-CN"/>
              </w:rPr>
              <w:t>1</w:t>
            </w:r>
            <w:r>
              <w:rPr>
                <w:rFonts w:hint="eastAsia" w:ascii="宋体" w:hAnsi="宋体" w:cs="宋体"/>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90" w:type="dxa"/>
            <w:vAlign w:val="center"/>
          </w:tcPr>
          <w:p>
            <w:pPr>
              <w:spacing w:before="100" w:beforeAutospacing="1" w:after="100" w:afterAutospacing="1" w:line="360" w:lineRule="auto"/>
              <w:jc w:val="center"/>
              <w:rPr>
                <w:rFonts w:ascii="宋体" w:hAnsi="宋体" w:cs="宋体"/>
              </w:rPr>
            </w:pPr>
            <w:r>
              <w:rPr>
                <w:rFonts w:hint="eastAsia" w:ascii="宋体" w:hAnsi="宋体" w:cs="宋体"/>
                <w:b/>
                <w:bCs/>
              </w:rPr>
              <w:t>特别提示</w:t>
            </w:r>
          </w:p>
        </w:tc>
        <w:tc>
          <w:tcPr>
            <w:tcW w:w="8202" w:type="dxa"/>
            <w:gridSpan w:val="2"/>
            <w:vAlign w:val="center"/>
          </w:tcPr>
          <w:p>
            <w:pPr>
              <w:spacing w:before="100" w:beforeAutospacing="1" w:after="100" w:afterAutospacing="1" w:line="360" w:lineRule="auto"/>
              <w:jc w:val="left"/>
              <w:rPr>
                <w:rFonts w:ascii="宋体" w:hAnsi="宋体" w:cs="宋体"/>
              </w:rPr>
            </w:pPr>
            <w:r>
              <w:rPr>
                <w:rFonts w:hint="eastAsia" w:ascii="宋体" w:hAnsi="宋体" w:cs="宋体"/>
                <w:b/>
                <w:bCs/>
              </w:rPr>
              <w:t>以上涉及资质、资格、证书、证明材料等资料均应在响应文件中提供复印件。投标人应对其提供的材料的真实性负责，若发现弄虚作假，将取消其中标资格，其投标保证金不予退还，并对其进行失信惩戒。</w:t>
            </w:r>
          </w:p>
        </w:tc>
      </w:tr>
    </w:tbl>
    <w:p>
      <w:pPr>
        <w:pStyle w:val="34"/>
        <w:tabs>
          <w:tab w:val="left" w:pos="834"/>
          <w:tab w:val="left" w:pos="1330"/>
          <w:tab w:val="left" w:pos="4435"/>
        </w:tabs>
        <w:spacing w:before="160" w:after="6" w:line="360" w:lineRule="auto"/>
        <w:ind w:left="668" w:right="371" w:firstLine="0"/>
        <w:rPr>
          <w:sz w:val="21"/>
          <w:szCs w:val="21"/>
          <w:lang w:val="en-US"/>
        </w:rPr>
      </w:pPr>
    </w:p>
    <w:p>
      <w:pPr>
        <w:pStyle w:val="34"/>
        <w:numPr>
          <w:ilvl w:val="2"/>
          <w:numId w:val="17"/>
        </w:numPr>
        <w:tabs>
          <w:tab w:val="left" w:pos="1330"/>
        </w:tabs>
        <w:spacing w:line="360" w:lineRule="auto"/>
        <w:ind w:left="1329" w:hanging="661"/>
        <w:jc w:val="both"/>
        <w:rPr>
          <w:sz w:val="21"/>
          <w:szCs w:val="21"/>
        </w:rPr>
      </w:pPr>
      <w:r>
        <w:rPr>
          <w:sz w:val="21"/>
          <w:szCs w:val="21"/>
        </w:rPr>
        <w:t>分值汇总</w:t>
      </w:r>
    </w:p>
    <w:p>
      <w:pPr>
        <w:pStyle w:val="34"/>
        <w:numPr>
          <w:ilvl w:val="0"/>
          <w:numId w:val="19"/>
        </w:numPr>
        <w:tabs>
          <w:tab w:val="left" w:pos="1275"/>
        </w:tabs>
        <w:spacing w:before="160" w:line="360" w:lineRule="auto"/>
        <w:ind w:right="368" w:firstLine="434"/>
        <w:jc w:val="both"/>
        <w:rPr>
          <w:sz w:val="21"/>
          <w:szCs w:val="21"/>
        </w:rPr>
      </w:pPr>
      <w:r>
        <w:rPr>
          <w:sz w:val="21"/>
          <w:szCs w:val="21"/>
        </w:rPr>
        <w:t>磋商小组各成员应当独立对每个有效响应的文件进行评价、打分，然后汇总每个供应商每项评分因素的得分（四舍五入保留至小数点后两位数</w:t>
      </w:r>
      <w:r>
        <w:rPr>
          <w:spacing w:val="-120"/>
          <w:sz w:val="21"/>
          <w:szCs w:val="21"/>
        </w:rPr>
        <w:t>）</w:t>
      </w:r>
      <w:r>
        <w:rPr>
          <w:spacing w:val="-9"/>
          <w:sz w:val="21"/>
          <w:szCs w:val="21"/>
        </w:rPr>
        <w:t>，再</w:t>
      </w:r>
      <w:r>
        <w:rPr>
          <w:sz w:val="21"/>
          <w:szCs w:val="21"/>
        </w:rPr>
        <w:t>将供应商每项评分因素的得分进行汇总，得到该供应商的技术资信分之和。</w:t>
      </w:r>
    </w:p>
    <w:p>
      <w:pPr>
        <w:pStyle w:val="34"/>
        <w:numPr>
          <w:ilvl w:val="0"/>
          <w:numId w:val="19"/>
        </w:numPr>
        <w:tabs>
          <w:tab w:val="left" w:pos="1275"/>
        </w:tabs>
        <w:spacing w:line="360" w:lineRule="auto"/>
        <w:ind w:right="369" w:firstLine="434"/>
        <w:rPr>
          <w:sz w:val="21"/>
          <w:szCs w:val="21"/>
        </w:rPr>
      </w:pPr>
      <w:r>
        <w:rPr>
          <w:spacing w:val="-1"/>
          <w:sz w:val="21"/>
          <w:szCs w:val="21"/>
        </w:rPr>
        <w:t xml:space="preserve">将每个供应商的技术资信分之和加上根据上述标准计算出的价格分， </w:t>
      </w:r>
      <w:r>
        <w:rPr>
          <w:sz w:val="21"/>
          <w:szCs w:val="21"/>
        </w:rPr>
        <w:t>即为该供应商的综合总得分。</w:t>
      </w:r>
    </w:p>
    <w:p>
      <w:pPr>
        <w:spacing w:line="360" w:lineRule="auto"/>
        <w:rPr>
          <w:rFonts w:ascii="宋体" w:hAnsi="宋体"/>
        </w:rPr>
      </w:pPr>
    </w:p>
    <w:p>
      <w:pPr>
        <w:widowControl/>
        <w:spacing w:line="360" w:lineRule="auto"/>
        <w:jc w:val="left"/>
        <w:rPr>
          <w:rFonts w:ascii="宋体" w:hAnsi="宋体"/>
        </w:rPr>
      </w:pPr>
      <w:r>
        <w:rPr>
          <w:rFonts w:ascii="宋体" w:hAnsi="宋体"/>
        </w:rPr>
        <w:br w:type="page"/>
      </w:r>
    </w:p>
    <w:p>
      <w:pPr>
        <w:pStyle w:val="3"/>
        <w:tabs>
          <w:tab w:val="left" w:pos="1125"/>
        </w:tabs>
        <w:ind w:right="136"/>
        <w:jc w:val="center"/>
        <w:rPr>
          <w:rFonts w:ascii="宋体" w:hAnsi="宋体"/>
          <w:sz w:val="32"/>
          <w:szCs w:val="32"/>
        </w:rPr>
      </w:pPr>
      <w:bookmarkStart w:id="58" w:name="_Toc15784"/>
      <w:r>
        <w:rPr>
          <w:rFonts w:ascii="宋体" w:hAnsi="宋体"/>
          <w:sz w:val="32"/>
          <w:szCs w:val="32"/>
        </w:rPr>
        <w:t>第五章采购合同</w:t>
      </w:r>
      <w:bookmarkEnd w:id="58"/>
    </w:p>
    <w:p>
      <w:pPr>
        <w:pStyle w:val="2"/>
        <w:rPr>
          <w:b/>
          <w:sz w:val="32"/>
        </w:rPr>
      </w:pPr>
    </w:p>
    <w:p>
      <w:pPr>
        <w:pStyle w:val="2"/>
        <w:spacing w:before="10"/>
        <w:rPr>
          <w:b/>
          <w:sz w:val="32"/>
        </w:rPr>
      </w:pPr>
    </w:p>
    <w:p>
      <w:pPr>
        <w:pStyle w:val="5"/>
        <w:spacing w:before="0"/>
        <w:ind w:left="1367" w:right="1503"/>
        <w:jc w:val="center"/>
        <w:rPr>
          <w:sz w:val="21"/>
          <w:szCs w:val="21"/>
        </w:rPr>
      </w:pPr>
      <w:r>
        <w:rPr>
          <w:spacing w:val="-1"/>
          <w:sz w:val="21"/>
          <w:szCs w:val="21"/>
        </w:rPr>
        <w:t>第一部分 合同书</w:t>
      </w: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spacing w:before="5"/>
        <w:rPr>
          <w:b/>
          <w:sz w:val="21"/>
          <w:szCs w:val="21"/>
        </w:rPr>
      </w:pPr>
    </w:p>
    <w:p>
      <w:pPr>
        <w:spacing w:before="1"/>
        <w:ind w:left="330" w:right="135"/>
        <w:jc w:val="center"/>
        <w:rPr>
          <w:rFonts w:ascii="宋体" w:hAnsi="宋体"/>
        </w:rPr>
      </w:pPr>
      <w:r>
        <w:rPr>
          <w:rFonts w:ascii="宋体" w:hAnsi="宋体"/>
        </w:rPr>
        <w:t>项目名称：</w:t>
      </w:r>
      <w:r>
        <w:rPr>
          <w:rFonts w:ascii="宋体" w:hAnsi="宋体"/>
          <w:u w:val="single"/>
        </w:rPr>
        <w:t>某项目</w:t>
      </w:r>
      <w:r>
        <w:rPr>
          <w:rFonts w:ascii="宋体" w:hAnsi="宋体"/>
        </w:rPr>
        <w:t>（分包项目须填写完整的分包号及分包名称）</w:t>
      </w:r>
    </w:p>
    <w:p>
      <w:pPr>
        <w:pStyle w:val="2"/>
        <w:spacing w:before="8"/>
        <w:rPr>
          <w:sz w:val="21"/>
          <w:szCs w:val="21"/>
        </w:rPr>
      </w:pPr>
    </w:p>
    <w:p>
      <w:pPr>
        <w:pStyle w:val="2"/>
        <w:spacing w:before="67"/>
        <w:ind w:left="1180" w:firstLine="420" w:firstLineChars="200"/>
        <w:rPr>
          <w:sz w:val="21"/>
          <w:szCs w:val="21"/>
        </w:rPr>
      </w:pPr>
      <w:r>
        <w:rPr>
          <w:sz w:val="21"/>
          <w:szCs w:val="21"/>
        </w:rPr>
        <w:t>项目编号：</w:t>
      </w:r>
      <w:r>
        <w:rPr>
          <w:sz w:val="21"/>
          <w:szCs w:val="21"/>
          <w:u w:val="single"/>
        </w:rPr>
        <w:t>某编号</w:t>
      </w:r>
    </w:p>
    <w:p>
      <w:pPr>
        <w:pStyle w:val="2"/>
        <w:spacing w:before="3"/>
        <w:rPr>
          <w:sz w:val="21"/>
          <w:szCs w:val="21"/>
        </w:rPr>
      </w:pPr>
    </w:p>
    <w:p>
      <w:pPr>
        <w:pStyle w:val="2"/>
        <w:tabs>
          <w:tab w:val="left" w:pos="6636"/>
        </w:tabs>
        <w:spacing w:before="74"/>
        <w:ind w:left="1180" w:firstLine="420" w:firstLineChars="200"/>
        <w:rPr>
          <w:sz w:val="21"/>
          <w:szCs w:val="21"/>
        </w:rPr>
      </w:pPr>
      <w:r>
        <w:rPr>
          <w:sz w:val="21"/>
          <w:szCs w:val="21"/>
        </w:rPr>
        <w:t>甲方（采购人</w:t>
      </w:r>
      <w:r>
        <w:rPr>
          <w:spacing w:val="-120"/>
          <w:sz w:val="21"/>
          <w:szCs w:val="21"/>
        </w:rPr>
        <w:t>）</w:t>
      </w:r>
      <w:r>
        <w:rPr>
          <w:sz w:val="21"/>
          <w:szCs w:val="21"/>
        </w:rPr>
        <w:t>：</w:t>
      </w:r>
      <w:r>
        <w:rPr>
          <w:sz w:val="21"/>
          <w:szCs w:val="21"/>
          <w:u w:val="single"/>
        </w:rPr>
        <w:t xml:space="preserve"> </w:t>
      </w:r>
      <w:r>
        <w:rPr>
          <w:sz w:val="21"/>
          <w:szCs w:val="21"/>
          <w:u w:val="single"/>
        </w:rPr>
        <w:tab/>
      </w:r>
    </w:p>
    <w:p>
      <w:pPr>
        <w:pStyle w:val="2"/>
        <w:rPr>
          <w:sz w:val="21"/>
          <w:szCs w:val="21"/>
        </w:rPr>
      </w:pPr>
    </w:p>
    <w:p>
      <w:pPr>
        <w:pStyle w:val="2"/>
        <w:tabs>
          <w:tab w:val="left" w:pos="6636"/>
        </w:tabs>
        <w:spacing w:before="207"/>
        <w:ind w:left="1180" w:firstLine="420" w:firstLineChars="200"/>
        <w:rPr>
          <w:sz w:val="21"/>
          <w:szCs w:val="21"/>
        </w:rPr>
      </w:pPr>
      <w:r>
        <w:rPr>
          <w:sz w:val="21"/>
          <w:szCs w:val="21"/>
        </w:rPr>
        <w:t>乙方（中标人</w:t>
      </w:r>
      <w:r>
        <w:rPr>
          <w:spacing w:val="-120"/>
          <w:sz w:val="21"/>
          <w:szCs w:val="21"/>
        </w:rPr>
        <w:t>）</w:t>
      </w:r>
      <w:r>
        <w:rPr>
          <w:sz w:val="21"/>
          <w:szCs w:val="21"/>
        </w:rPr>
        <w:t>：</w:t>
      </w:r>
      <w:r>
        <w:rPr>
          <w:sz w:val="21"/>
          <w:szCs w:val="21"/>
          <w:u w:val="single"/>
        </w:rPr>
        <w:t xml:space="preserve"> </w:t>
      </w:r>
      <w:r>
        <w:rPr>
          <w:sz w:val="21"/>
          <w:szCs w:val="21"/>
          <w:u w:val="single"/>
        </w:rPr>
        <w:tab/>
      </w:r>
    </w:p>
    <w:p>
      <w:pPr>
        <w:pStyle w:val="2"/>
        <w:rPr>
          <w:sz w:val="21"/>
          <w:szCs w:val="21"/>
        </w:rPr>
      </w:pPr>
    </w:p>
    <w:p>
      <w:pPr>
        <w:pStyle w:val="2"/>
        <w:tabs>
          <w:tab w:val="left" w:pos="6636"/>
        </w:tabs>
        <w:spacing w:before="207"/>
        <w:ind w:left="1180" w:firstLine="420" w:firstLineChars="200"/>
        <w:rPr>
          <w:sz w:val="21"/>
          <w:szCs w:val="21"/>
        </w:rPr>
      </w:pPr>
      <w:r>
        <w:rPr>
          <w:sz w:val="21"/>
          <w:szCs w:val="21"/>
        </w:rPr>
        <w:t>签订地：</w:t>
      </w:r>
      <w:r>
        <w:rPr>
          <w:sz w:val="21"/>
          <w:szCs w:val="21"/>
          <w:u w:val="single"/>
        </w:rPr>
        <w:t xml:space="preserve"> </w:t>
      </w:r>
      <w:r>
        <w:rPr>
          <w:sz w:val="21"/>
          <w:szCs w:val="21"/>
          <w:u w:val="single"/>
        </w:rPr>
        <w:tab/>
      </w:r>
    </w:p>
    <w:p>
      <w:pPr>
        <w:pStyle w:val="2"/>
        <w:rPr>
          <w:sz w:val="21"/>
          <w:szCs w:val="21"/>
        </w:rPr>
      </w:pPr>
    </w:p>
    <w:p>
      <w:pPr>
        <w:pStyle w:val="2"/>
        <w:tabs>
          <w:tab w:val="left" w:pos="4180"/>
          <w:tab w:val="left" w:pos="5261"/>
          <w:tab w:val="left" w:pos="6341"/>
        </w:tabs>
        <w:spacing w:before="206"/>
        <w:ind w:left="1180" w:firstLine="420" w:firstLineChars="200"/>
        <w:rPr>
          <w:sz w:val="21"/>
          <w:szCs w:val="21"/>
        </w:rPr>
      </w:pPr>
      <w:r>
        <w:rPr>
          <w:sz w:val="21"/>
          <w:szCs w:val="21"/>
        </w:rPr>
        <w:t>签订日期：</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rPr>
          <w:rFonts w:ascii="宋体" w:hAnsi="宋体"/>
        </w:rPr>
        <w:sectPr>
          <w:footerReference r:id="rId3" w:type="default"/>
          <w:pgSz w:w="11910" w:h="16840"/>
          <w:pgMar w:top="1380" w:right="1440" w:bottom="1500" w:left="1580" w:header="877" w:footer="1304" w:gutter="0"/>
          <w:pgNumType w:fmt="decimal"/>
          <w:cols w:space="720" w:num="1"/>
        </w:sectPr>
      </w:pPr>
    </w:p>
    <w:p>
      <w:pPr>
        <w:pStyle w:val="2"/>
        <w:spacing w:before="10" w:line="360" w:lineRule="auto"/>
        <w:ind w:right="359" w:firstLine="434"/>
        <w:jc w:val="both"/>
        <w:rPr>
          <w:sz w:val="21"/>
          <w:szCs w:val="21"/>
        </w:rPr>
      </w:pPr>
      <w:r>
        <w:rPr>
          <w:sz w:val="21"/>
          <w:szCs w:val="21"/>
        </w:rPr>
        <w:t>根据</w:t>
      </w:r>
      <w:r>
        <w:rPr>
          <w:rFonts w:hint="eastAsia"/>
          <w:sz w:val="21"/>
          <w:szCs w:val="21"/>
        </w:rPr>
        <w:t>《中华人民共和国民法典》</w:t>
      </w:r>
      <w:r>
        <w:rPr>
          <w:sz w:val="21"/>
          <w:szCs w:val="21"/>
        </w:rPr>
        <w:t>、《中华人民共和国政府采购法》等相关法律法规之规定，按照平等、自愿、公平和诚实信用的原则，经甲方和乙方协商一致， 约定以下合同条款，以兹共同遵守、全面履行。</w:t>
      </w:r>
    </w:p>
    <w:p>
      <w:pPr>
        <w:pStyle w:val="5"/>
        <w:numPr>
          <w:ilvl w:val="1"/>
          <w:numId w:val="20"/>
        </w:numPr>
        <w:tabs>
          <w:tab w:val="left" w:pos="1142"/>
        </w:tabs>
        <w:spacing w:before="2" w:line="360" w:lineRule="auto"/>
        <w:rPr>
          <w:sz w:val="21"/>
          <w:szCs w:val="21"/>
        </w:rPr>
      </w:pPr>
      <w:r>
        <w:rPr>
          <w:sz w:val="21"/>
          <w:szCs w:val="21"/>
        </w:rPr>
        <w:t>合同组成部分</w:t>
      </w:r>
    </w:p>
    <w:p>
      <w:pPr>
        <w:pStyle w:val="2"/>
        <w:spacing w:before="161" w:line="360" w:lineRule="auto"/>
        <w:ind w:right="237" w:firstLine="434"/>
        <w:rPr>
          <w:sz w:val="21"/>
          <w:szCs w:val="21"/>
        </w:rPr>
      </w:pPr>
      <w:r>
        <w:rPr>
          <w:sz w:val="21"/>
          <w:szCs w:val="21"/>
        </w:rPr>
        <w:t>下列文件为本合同的组成部分，并构成一个整体，需综合解释、相互补充。</w:t>
      </w:r>
      <w:r>
        <w:rPr>
          <w:spacing w:val="-6"/>
          <w:sz w:val="21"/>
          <w:szCs w:val="21"/>
        </w:rPr>
        <w:t>如果下列文件内容出现不一致的情形，那么在保证按照采购文件确定的事项前提下，组成本合同的多个文件的优先适用顺序如下：</w:t>
      </w:r>
    </w:p>
    <w:p>
      <w:pPr>
        <w:pStyle w:val="35"/>
        <w:numPr>
          <w:ilvl w:val="2"/>
          <w:numId w:val="20"/>
        </w:numPr>
        <w:tabs>
          <w:tab w:val="left" w:pos="1315"/>
        </w:tabs>
        <w:autoSpaceDE w:val="0"/>
        <w:autoSpaceDN w:val="0"/>
        <w:spacing w:before="2" w:line="360" w:lineRule="auto"/>
        <w:ind w:hanging="661" w:firstLineChars="0"/>
        <w:rPr>
          <w:rFonts w:ascii="宋体" w:hAnsi="宋体"/>
        </w:rPr>
      </w:pPr>
      <w:r>
        <w:rPr>
          <w:rFonts w:ascii="宋体" w:hAnsi="宋体"/>
        </w:rPr>
        <w:t>本合同及其补充合同、变更协议；</w:t>
      </w:r>
    </w:p>
    <w:p>
      <w:pPr>
        <w:pStyle w:val="35"/>
        <w:numPr>
          <w:ilvl w:val="2"/>
          <w:numId w:val="20"/>
        </w:numPr>
        <w:tabs>
          <w:tab w:val="left" w:pos="1315"/>
        </w:tabs>
        <w:autoSpaceDE w:val="0"/>
        <w:autoSpaceDN w:val="0"/>
        <w:spacing w:before="160" w:line="360" w:lineRule="auto"/>
        <w:ind w:hanging="661" w:firstLineChars="0"/>
        <w:rPr>
          <w:rFonts w:ascii="宋体" w:hAnsi="宋体"/>
        </w:rPr>
      </w:pPr>
      <w:r>
        <w:rPr>
          <w:rFonts w:hint="eastAsia" w:ascii="宋体" w:hAnsi="宋体"/>
        </w:rPr>
        <w:t>成交</w:t>
      </w:r>
      <w:r>
        <w:rPr>
          <w:rFonts w:ascii="宋体" w:hAnsi="宋体"/>
        </w:rPr>
        <w:t>通知书；</w:t>
      </w:r>
    </w:p>
    <w:p>
      <w:pPr>
        <w:pStyle w:val="35"/>
        <w:numPr>
          <w:ilvl w:val="2"/>
          <w:numId w:val="20"/>
        </w:numPr>
        <w:tabs>
          <w:tab w:val="left" w:pos="1315"/>
        </w:tabs>
        <w:autoSpaceDE w:val="0"/>
        <w:autoSpaceDN w:val="0"/>
        <w:spacing w:before="161" w:line="360" w:lineRule="auto"/>
        <w:ind w:hanging="661" w:firstLineChars="0"/>
        <w:rPr>
          <w:rFonts w:ascii="宋体" w:hAnsi="宋体"/>
        </w:rPr>
      </w:pPr>
      <w:r>
        <w:rPr>
          <w:rFonts w:hint="eastAsia" w:ascii="宋体" w:hAnsi="宋体"/>
        </w:rPr>
        <w:t>响应</w:t>
      </w:r>
      <w:r>
        <w:rPr>
          <w:rFonts w:ascii="宋体" w:hAnsi="宋体"/>
        </w:rPr>
        <w:t>文件（含澄清或者说明文件）；</w:t>
      </w:r>
    </w:p>
    <w:p>
      <w:pPr>
        <w:pStyle w:val="35"/>
        <w:numPr>
          <w:ilvl w:val="2"/>
          <w:numId w:val="20"/>
        </w:numPr>
        <w:tabs>
          <w:tab w:val="left" w:pos="1315"/>
        </w:tabs>
        <w:autoSpaceDE w:val="0"/>
        <w:autoSpaceDN w:val="0"/>
        <w:spacing w:before="160" w:line="360" w:lineRule="auto"/>
        <w:ind w:hanging="661" w:firstLineChars="0"/>
        <w:rPr>
          <w:rFonts w:ascii="宋体" w:hAnsi="宋体"/>
        </w:rPr>
      </w:pPr>
      <w:r>
        <w:rPr>
          <w:rFonts w:hint="eastAsia" w:ascii="宋体" w:hAnsi="宋体"/>
        </w:rPr>
        <w:t>磋商</w:t>
      </w:r>
      <w:r>
        <w:rPr>
          <w:rFonts w:ascii="宋体" w:hAnsi="宋体"/>
        </w:rPr>
        <w:t>文件（含澄清或者修改文件）；</w:t>
      </w:r>
    </w:p>
    <w:p>
      <w:pPr>
        <w:pStyle w:val="35"/>
        <w:numPr>
          <w:ilvl w:val="2"/>
          <w:numId w:val="20"/>
        </w:numPr>
        <w:tabs>
          <w:tab w:val="left" w:pos="1315"/>
        </w:tabs>
        <w:autoSpaceDE w:val="0"/>
        <w:autoSpaceDN w:val="0"/>
        <w:spacing w:before="161" w:line="360" w:lineRule="auto"/>
        <w:ind w:hanging="661" w:firstLineChars="0"/>
        <w:rPr>
          <w:rFonts w:ascii="宋体" w:hAnsi="宋体"/>
        </w:rPr>
      </w:pPr>
      <w:r>
        <w:rPr>
          <w:rFonts w:ascii="宋体" w:hAnsi="宋体"/>
        </w:rPr>
        <w:t>其他相关采购文件。</w:t>
      </w:r>
    </w:p>
    <w:p>
      <w:pPr>
        <w:pStyle w:val="5"/>
        <w:numPr>
          <w:ilvl w:val="1"/>
          <w:numId w:val="20"/>
        </w:numPr>
        <w:tabs>
          <w:tab w:val="left" w:pos="1142"/>
        </w:tabs>
        <w:spacing w:before="161" w:line="360" w:lineRule="auto"/>
        <w:rPr>
          <w:sz w:val="21"/>
          <w:szCs w:val="21"/>
        </w:rPr>
      </w:pPr>
      <w:r>
        <w:rPr>
          <w:sz w:val="21"/>
          <w:szCs w:val="21"/>
        </w:rPr>
        <w:t>服务</w:t>
      </w:r>
    </w:p>
    <w:p>
      <w:pPr>
        <w:pStyle w:val="35"/>
        <w:numPr>
          <w:ilvl w:val="2"/>
          <w:numId w:val="20"/>
        </w:numPr>
        <w:tabs>
          <w:tab w:val="left" w:pos="1315"/>
          <w:tab w:val="left" w:pos="8276"/>
        </w:tabs>
        <w:autoSpaceDE w:val="0"/>
        <w:autoSpaceDN w:val="0"/>
        <w:spacing w:before="160" w:line="360" w:lineRule="auto"/>
        <w:ind w:hanging="661" w:firstLineChars="0"/>
        <w:rPr>
          <w:rFonts w:ascii="宋体" w:hAnsi="宋体"/>
        </w:rPr>
      </w:pPr>
      <w:r>
        <w:rPr>
          <w:rFonts w:ascii="宋体" w:hAnsi="宋体"/>
        </w:rPr>
        <w:t>服务名称：</w:t>
      </w:r>
      <w:r>
        <w:rPr>
          <w:rFonts w:ascii="宋体" w:hAnsi="宋体"/>
          <w:u w:val="single"/>
        </w:rPr>
        <w:t xml:space="preserve"> </w:t>
      </w:r>
      <w:r>
        <w:rPr>
          <w:rFonts w:ascii="宋体" w:hAnsi="宋体"/>
          <w:u w:val="single"/>
        </w:rPr>
        <w:tab/>
      </w:r>
      <w:r>
        <w:rPr>
          <w:rFonts w:ascii="宋体" w:hAnsi="宋体"/>
        </w:rPr>
        <w:t>；</w:t>
      </w:r>
    </w:p>
    <w:p>
      <w:pPr>
        <w:pStyle w:val="35"/>
        <w:numPr>
          <w:ilvl w:val="2"/>
          <w:numId w:val="20"/>
        </w:numPr>
        <w:tabs>
          <w:tab w:val="left" w:pos="1315"/>
          <w:tab w:val="left" w:pos="8276"/>
        </w:tabs>
        <w:autoSpaceDE w:val="0"/>
        <w:autoSpaceDN w:val="0"/>
        <w:spacing w:before="161" w:line="360" w:lineRule="auto"/>
        <w:ind w:hanging="661" w:firstLineChars="0"/>
        <w:rPr>
          <w:rFonts w:ascii="宋体" w:hAnsi="宋体"/>
        </w:rPr>
      </w:pPr>
      <w:r>
        <w:rPr>
          <w:rFonts w:ascii="宋体" w:hAnsi="宋体"/>
        </w:rPr>
        <w:t>服务内容：</w:t>
      </w:r>
      <w:r>
        <w:rPr>
          <w:rFonts w:ascii="宋体" w:hAnsi="宋体"/>
          <w:u w:val="single"/>
        </w:rPr>
        <w:t xml:space="preserve"> </w:t>
      </w:r>
      <w:r>
        <w:rPr>
          <w:rFonts w:ascii="宋体" w:hAnsi="宋体"/>
          <w:u w:val="single"/>
        </w:rPr>
        <w:tab/>
      </w:r>
      <w:r>
        <w:rPr>
          <w:rFonts w:ascii="宋体" w:hAnsi="宋体"/>
        </w:rPr>
        <w:t>；</w:t>
      </w:r>
    </w:p>
    <w:p>
      <w:pPr>
        <w:pStyle w:val="35"/>
        <w:numPr>
          <w:ilvl w:val="2"/>
          <w:numId w:val="20"/>
        </w:numPr>
        <w:tabs>
          <w:tab w:val="left" w:pos="1315"/>
          <w:tab w:val="left" w:pos="8276"/>
        </w:tabs>
        <w:autoSpaceDE w:val="0"/>
        <w:autoSpaceDN w:val="0"/>
        <w:spacing w:before="160" w:line="360" w:lineRule="auto"/>
        <w:ind w:hanging="661" w:firstLineChars="0"/>
        <w:rPr>
          <w:rFonts w:ascii="宋体" w:hAnsi="宋体"/>
        </w:rPr>
      </w:pPr>
      <w:r>
        <w:rPr>
          <w:rFonts w:ascii="宋体" w:hAnsi="宋体"/>
        </w:rPr>
        <w:t>服务质量：</w:t>
      </w:r>
      <w:r>
        <w:rPr>
          <w:rFonts w:ascii="宋体" w:hAnsi="宋体"/>
          <w:u w:val="single"/>
        </w:rPr>
        <w:t xml:space="preserve"> </w:t>
      </w:r>
      <w:r>
        <w:rPr>
          <w:rFonts w:ascii="宋体" w:hAnsi="宋体"/>
          <w:u w:val="single"/>
        </w:rPr>
        <w:tab/>
      </w:r>
      <w:r>
        <w:rPr>
          <w:rFonts w:ascii="宋体" w:hAnsi="宋体"/>
        </w:rPr>
        <w:t>。</w:t>
      </w:r>
    </w:p>
    <w:p>
      <w:pPr>
        <w:pStyle w:val="5"/>
        <w:numPr>
          <w:ilvl w:val="1"/>
          <w:numId w:val="20"/>
        </w:numPr>
        <w:tabs>
          <w:tab w:val="left" w:pos="1142"/>
        </w:tabs>
        <w:spacing w:before="161" w:line="360" w:lineRule="auto"/>
        <w:rPr>
          <w:sz w:val="21"/>
          <w:szCs w:val="21"/>
        </w:rPr>
      </w:pPr>
      <w:r>
        <w:rPr>
          <w:sz w:val="21"/>
          <w:szCs w:val="21"/>
        </w:rPr>
        <w:t>价款</w:t>
      </w:r>
    </w:p>
    <w:p>
      <w:pPr>
        <w:pStyle w:val="2"/>
        <w:tabs>
          <w:tab w:val="left" w:pos="3895"/>
          <w:tab w:val="left" w:pos="7856"/>
        </w:tabs>
        <w:spacing w:before="160" w:line="360" w:lineRule="auto"/>
        <w:ind w:left="654" w:right="428"/>
        <w:rPr>
          <w:sz w:val="21"/>
          <w:szCs w:val="21"/>
        </w:rPr>
      </w:pPr>
      <w:r>
        <w:rPr>
          <w:sz w:val="21"/>
          <w:szCs w:val="21"/>
        </w:rPr>
        <w:t>本合同总价为：￥</w:t>
      </w:r>
      <w:r>
        <w:rPr>
          <w:sz w:val="21"/>
          <w:szCs w:val="21"/>
          <w:u w:val="single"/>
        </w:rPr>
        <w:t xml:space="preserve"> </w:t>
      </w:r>
      <w:r>
        <w:rPr>
          <w:sz w:val="21"/>
          <w:szCs w:val="21"/>
          <w:u w:val="single"/>
        </w:rPr>
        <w:tab/>
      </w:r>
      <w:r>
        <w:rPr>
          <w:sz w:val="21"/>
          <w:szCs w:val="21"/>
        </w:rPr>
        <w:t>元（大写：人民币</w:t>
      </w:r>
      <w:r>
        <w:rPr>
          <w:sz w:val="21"/>
          <w:szCs w:val="21"/>
          <w:u w:val="single"/>
        </w:rPr>
        <w:t xml:space="preserve"> </w:t>
      </w:r>
      <w:r>
        <w:rPr>
          <w:sz w:val="21"/>
          <w:szCs w:val="21"/>
          <w:u w:val="single"/>
        </w:rPr>
        <w:tab/>
      </w:r>
      <w:r>
        <w:rPr>
          <w:sz w:val="21"/>
          <w:szCs w:val="21"/>
        </w:rPr>
        <w:t>元</w:t>
      </w:r>
      <w:r>
        <w:rPr>
          <w:spacing w:val="-120"/>
          <w:sz w:val="21"/>
          <w:szCs w:val="21"/>
        </w:rPr>
        <w:t>）</w:t>
      </w:r>
      <w:r>
        <w:rPr>
          <w:spacing w:val="-18"/>
          <w:sz w:val="21"/>
          <w:szCs w:val="21"/>
        </w:rPr>
        <w:t>。</w:t>
      </w:r>
      <w:r>
        <w:rPr>
          <w:sz w:val="21"/>
          <w:szCs w:val="21"/>
        </w:rPr>
        <w:t>分项价格：</w:t>
      </w:r>
    </w:p>
    <w:tbl>
      <w:tblPr>
        <w:tblStyle w:val="18"/>
        <w:tblW w:w="85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4317"/>
        <w:gridCol w:w="3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9" w:hRule="atLeast"/>
        </w:trPr>
        <w:tc>
          <w:tcPr>
            <w:tcW w:w="958" w:type="dxa"/>
          </w:tcPr>
          <w:p>
            <w:pPr>
              <w:pStyle w:val="46"/>
              <w:spacing w:before="28"/>
              <w:ind w:left="217" w:right="211"/>
              <w:jc w:val="center"/>
              <w:rPr>
                <w:sz w:val="24"/>
                <w:lang w:eastAsia="en-US"/>
              </w:rPr>
            </w:pPr>
            <w:r>
              <w:rPr>
                <w:sz w:val="24"/>
                <w:lang w:eastAsia="en-US"/>
              </w:rPr>
              <w:t>序号</w:t>
            </w:r>
          </w:p>
        </w:tc>
        <w:tc>
          <w:tcPr>
            <w:tcW w:w="4317" w:type="dxa"/>
          </w:tcPr>
          <w:p>
            <w:pPr>
              <w:pStyle w:val="46"/>
              <w:spacing w:before="28"/>
              <w:ind w:left="1755" w:right="1551"/>
              <w:jc w:val="center"/>
              <w:rPr>
                <w:sz w:val="24"/>
                <w:lang w:eastAsia="en-US"/>
              </w:rPr>
            </w:pPr>
            <w:r>
              <w:rPr>
                <w:sz w:val="24"/>
                <w:lang w:eastAsia="en-US"/>
              </w:rPr>
              <w:t>分项名称</w:t>
            </w:r>
          </w:p>
        </w:tc>
        <w:tc>
          <w:tcPr>
            <w:tcW w:w="3239" w:type="dxa"/>
          </w:tcPr>
          <w:p>
            <w:pPr>
              <w:pStyle w:val="46"/>
              <w:spacing w:before="28"/>
              <w:ind w:left="1116" w:right="1113"/>
              <w:jc w:val="center"/>
              <w:rPr>
                <w:sz w:val="24"/>
                <w:lang w:eastAsia="en-US"/>
              </w:rPr>
            </w:pPr>
            <w:r>
              <w:rPr>
                <w:sz w:val="24"/>
                <w:lang w:eastAsia="en-US"/>
              </w:rPr>
              <w:t>分项价格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9" w:hRule="atLeast"/>
        </w:trPr>
        <w:tc>
          <w:tcPr>
            <w:tcW w:w="958" w:type="dxa"/>
          </w:tcPr>
          <w:p>
            <w:pPr>
              <w:pStyle w:val="46"/>
              <w:spacing w:line="307" w:lineRule="exact"/>
              <w:ind w:left="6"/>
              <w:jc w:val="center"/>
              <w:rPr>
                <w:sz w:val="24"/>
                <w:lang w:eastAsia="en-US"/>
              </w:rPr>
            </w:pPr>
            <w:r>
              <w:rPr>
                <w:sz w:val="24"/>
                <w:lang w:eastAsia="en-US"/>
              </w:rPr>
              <w:t>1</w:t>
            </w:r>
          </w:p>
        </w:tc>
        <w:tc>
          <w:tcPr>
            <w:tcW w:w="4317" w:type="dxa"/>
          </w:tcPr>
          <w:p>
            <w:pPr>
              <w:pStyle w:val="46"/>
              <w:rPr>
                <w:rFonts w:ascii="Times New Roman"/>
                <w:lang w:eastAsia="en-US"/>
              </w:rPr>
            </w:pPr>
          </w:p>
        </w:tc>
        <w:tc>
          <w:tcPr>
            <w:tcW w:w="3239" w:type="dxa"/>
          </w:tcPr>
          <w:p>
            <w:pPr>
              <w:pStyle w:val="46"/>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tcPr>
          <w:p>
            <w:pPr>
              <w:pStyle w:val="46"/>
              <w:ind w:left="6"/>
              <w:jc w:val="center"/>
              <w:rPr>
                <w:sz w:val="24"/>
                <w:lang w:eastAsia="en-US"/>
              </w:rPr>
            </w:pPr>
            <w:r>
              <w:rPr>
                <w:sz w:val="24"/>
                <w:lang w:eastAsia="en-US"/>
              </w:rPr>
              <w:t>2</w:t>
            </w:r>
          </w:p>
        </w:tc>
        <w:tc>
          <w:tcPr>
            <w:tcW w:w="4317" w:type="dxa"/>
          </w:tcPr>
          <w:p>
            <w:pPr>
              <w:pStyle w:val="46"/>
              <w:rPr>
                <w:rFonts w:ascii="Times New Roman"/>
                <w:lang w:eastAsia="en-US"/>
              </w:rPr>
            </w:pPr>
          </w:p>
        </w:tc>
        <w:tc>
          <w:tcPr>
            <w:tcW w:w="3239" w:type="dxa"/>
          </w:tcPr>
          <w:p>
            <w:pPr>
              <w:pStyle w:val="46"/>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tcPr>
          <w:p>
            <w:pPr>
              <w:pStyle w:val="46"/>
              <w:spacing w:line="307" w:lineRule="exact"/>
              <w:ind w:left="6"/>
              <w:jc w:val="center"/>
              <w:rPr>
                <w:sz w:val="24"/>
                <w:lang w:eastAsia="en-US"/>
              </w:rPr>
            </w:pPr>
            <w:r>
              <w:rPr>
                <w:sz w:val="24"/>
                <w:lang w:eastAsia="en-US"/>
              </w:rPr>
              <w:t>3</w:t>
            </w:r>
          </w:p>
        </w:tc>
        <w:tc>
          <w:tcPr>
            <w:tcW w:w="4317" w:type="dxa"/>
          </w:tcPr>
          <w:p>
            <w:pPr>
              <w:pStyle w:val="46"/>
              <w:rPr>
                <w:rFonts w:ascii="Times New Roman"/>
                <w:lang w:eastAsia="en-US"/>
              </w:rPr>
            </w:pPr>
          </w:p>
        </w:tc>
        <w:tc>
          <w:tcPr>
            <w:tcW w:w="3239" w:type="dxa"/>
          </w:tcPr>
          <w:p>
            <w:pPr>
              <w:pStyle w:val="46"/>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tcPr>
          <w:p>
            <w:pPr>
              <w:pStyle w:val="46"/>
              <w:spacing w:line="307" w:lineRule="exact"/>
              <w:ind w:left="217" w:right="211"/>
              <w:jc w:val="center"/>
              <w:rPr>
                <w:sz w:val="24"/>
                <w:lang w:eastAsia="en-US"/>
              </w:rPr>
            </w:pPr>
            <w:r>
              <w:rPr>
                <w:w w:val="200"/>
                <w:sz w:val="24"/>
                <w:lang w:eastAsia="en-US"/>
              </w:rPr>
              <w:t>„„</w:t>
            </w:r>
          </w:p>
        </w:tc>
        <w:tc>
          <w:tcPr>
            <w:tcW w:w="4317" w:type="dxa"/>
          </w:tcPr>
          <w:p>
            <w:pPr>
              <w:pStyle w:val="46"/>
              <w:rPr>
                <w:rFonts w:ascii="Times New Roman"/>
                <w:lang w:eastAsia="en-US"/>
              </w:rPr>
            </w:pPr>
          </w:p>
        </w:tc>
        <w:tc>
          <w:tcPr>
            <w:tcW w:w="3239" w:type="dxa"/>
          </w:tcPr>
          <w:p>
            <w:pPr>
              <w:pStyle w:val="46"/>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5275" w:type="dxa"/>
            <w:gridSpan w:val="2"/>
          </w:tcPr>
          <w:p>
            <w:pPr>
              <w:pStyle w:val="46"/>
              <w:spacing w:before="28"/>
              <w:ind w:left="2481" w:right="2264"/>
              <w:jc w:val="center"/>
              <w:rPr>
                <w:sz w:val="24"/>
                <w:lang w:eastAsia="en-US"/>
              </w:rPr>
            </w:pPr>
            <w:r>
              <w:rPr>
                <w:sz w:val="24"/>
                <w:lang w:eastAsia="en-US"/>
              </w:rPr>
              <w:t>总价</w:t>
            </w:r>
          </w:p>
        </w:tc>
        <w:tc>
          <w:tcPr>
            <w:tcW w:w="3239" w:type="dxa"/>
            <w:tcBorders>
              <w:right w:val="single" w:color="000000" w:sz="6" w:space="0"/>
            </w:tcBorders>
          </w:tcPr>
          <w:p>
            <w:pPr>
              <w:pStyle w:val="46"/>
              <w:rPr>
                <w:rFonts w:ascii="Times New Roman"/>
                <w:lang w:eastAsia="en-US"/>
              </w:rPr>
            </w:pPr>
          </w:p>
        </w:tc>
      </w:tr>
    </w:tbl>
    <w:p>
      <w:pPr>
        <w:pStyle w:val="2"/>
        <w:spacing w:line="360" w:lineRule="auto"/>
        <w:rPr>
          <w:sz w:val="21"/>
          <w:szCs w:val="21"/>
        </w:rPr>
      </w:pPr>
    </w:p>
    <w:p>
      <w:pPr>
        <w:pStyle w:val="2"/>
        <w:spacing w:before="6" w:line="360" w:lineRule="auto"/>
        <w:rPr>
          <w:sz w:val="21"/>
          <w:szCs w:val="21"/>
        </w:rPr>
      </w:pPr>
    </w:p>
    <w:p>
      <w:pPr>
        <w:pStyle w:val="5"/>
        <w:numPr>
          <w:ilvl w:val="1"/>
          <w:numId w:val="20"/>
        </w:numPr>
        <w:tabs>
          <w:tab w:val="left" w:pos="1142"/>
        </w:tabs>
        <w:spacing w:before="0" w:line="360" w:lineRule="auto"/>
        <w:rPr>
          <w:sz w:val="21"/>
          <w:szCs w:val="21"/>
        </w:rPr>
      </w:pPr>
      <w:r>
        <w:rPr>
          <w:sz w:val="21"/>
          <w:szCs w:val="21"/>
        </w:rPr>
        <w:t>付款方式和发票开具方式</w:t>
      </w:r>
    </w:p>
    <w:p>
      <w:pPr>
        <w:pStyle w:val="35"/>
        <w:numPr>
          <w:ilvl w:val="2"/>
          <w:numId w:val="20"/>
        </w:numPr>
        <w:tabs>
          <w:tab w:val="left" w:pos="1315"/>
          <w:tab w:val="left" w:pos="8276"/>
        </w:tabs>
        <w:autoSpaceDE w:val="0"/>
        <w:autoSpaceDN w:val="0"/>
        <w:spacing w:before="132" w:line="360" w:lineRule="auto"/>
        <w:ind w:hanging="661" w:firstLineChars="0"/>
        <w:rPr>
          <w:rFonts w:ascii="宋体" w:hAnsi="宋体"/>
        </w:rPr>
      </w:pPr>
      <w:r>
        <w:rPr>
          <w:rFonts w:ascii="宋体" w:hAnsi="宋体"/>
        </w:rPr>
        <w:t>付款方式：</w:t>
      </w:r>
      <w:r>
        <w:rPr>
          <w:rFonts w:ascii="宋体" w:hAnsi="宋体"/>
          <w:u w:val="single"/>
        </w:rPr>
        <w:t xml:space="preserve"> </w:t>
      </w:r>
      <w:r>
        <w:rPr>
          <w:rFonts w:hint="eastAsia" w:ascii="宋体" w:hAnsi="宋体"/>
          <w:u w:val="single"/>
          <w:lang w:val="en-US" w:eastAsia="zh-CN"/>
        </w:rPr>
        <w:t xml:space="preserve">     </w:t>
      </w:r>
      <w:r>
        <w:rPr>
          <w:rFonts w:ascii="宋体" w:hAnsi="宋体"/>
          <w:u w:val="single"/>
        </w:rPr>
        <w:tab/>
      </w:r>
      <w:r>
        <w:rPr>
          <w:rFonts w:ascii="宋体" w:hAnsi="宋体"/>
        </w:rPr>
        <w:t>；</w:t>
      </w:r>
    </w:p>
    <w:p>
      <w:pPr>
        <w:pStyle w:val="35"/>
        <w:numPr>
          <w:ilvl w:val="2"/>
          <w:numId w:val="20"/>
        </w:numPr>
        <w:tabs>
          <w:tab w:val="left" w:pos="1315"/>
          <w:tab w:val="left" w:pos="8276"/>
        </w:tabs>
        <w:autoSpaceDE w:val="0"/>
        <w:autoSpaceDN w:val="0"/>
        <w:spacing w:before="132" w:line="360" w:lineRule="auto"/>
        <w:ind w:hanging="661" w:firstLineChars="0"/>
        <w:rPr>
          <w:rFonts w:ascii="宋体" w:hAnsi="宋体"/>
        </w:rPr>
      </w:pPr>
      <w:r>
        <w:rPr>
          <w:rFonts w:ascii="宋体" w:hAnsi="宋体"/>
        </w:rPr>
        <w:t>发票开具方式：</w:t>
      </w:r>
      <w:r>
        <w:rPr>
          <w:rFonts w:ascii="宋体" w:hAnsi="宋体"/>
          <w:u w:val="single"/>
        </w:rPr>
        <w:t xml:space="preserve"> </w:t>
      </w:r>
      <w:r>
        <w:rPr>
          <w:rFonts w:ascii="宋体" w:hAnsi="宋体"/>
          <w:u w:val="single"/>
        </w:rPr>
        <w:tab/>
      </w:r>
      <w:r>
        <w:rPr>
          <w:rFonts w:ascii="宋体" w:hAnsi="宋体"/>
        </w:rPr>
        <w:t>。</w:t>
      </w:r>
    </w:p>
    <w:p>
      <w:pPr>
        <w:pStyle w:val="5"/>
        <w:numPr>
          <w:ilvl w:val="1"/>
          <w:numId w:val="20"/>
        </w:numPr>
        <w:tabs>
          <w:tab w:val="left" w:pos="1142"/>
        </w:tabs>
        <w:spacing w:before="160" w:line="360" w:lineRule="auto"/>
        <w:rPr>
          <w:sz w:val="21"/>
          <w:szCs w:val="21"/>
        </w:rPr>
      </w:pPr>
      <w:r>
        <w:rPr>
          <w:sz w:val="21"/>
          <w:szCs w:val="21"/>
        </w:rPr>
        <w:t>服务期限、地点和方式</w:t>
      </w:r>
    </w:p>
    <w:p>
      <w:pPr>
        <w:pStyle w:val="35"/>
        <w:numPr>
          <w:ilvl w:val="2"/>
          <w:numId w:val="20"/>
        </w:numPr>
        <w:tabs>
          <w:tab w:val="left" w:pos="1315"/>
          <w:tab w:val="left" w:pos="8276"/>
        </w:tabs>
        <w:autoSpaceDE w:val="0"/>
        <w:autoSpaceDN w:val="0"/>
        <w:spacing w:before="161" w:line="360" w:lineRule="auto"/>
        <w:ind w:hanging="661" w:firstLineChars="0"/>
        <w:rPr>
          <w:rFonts w:ascii="宋体" w:hAnsi="宋体"/>
        </w:rPr>
      </w:pPr>
      <w:r>
        <w:rPr>
          <w:rFonts w:ascii="宋体" w:hAnsi="宋体"/>
        </w:rPr>
        <w:t>服务期限：</w:t>
      </w:r>
      <w:r>
        <w:rPr>
          <w:rFonts w:ascii="宋体" w:hAnsi="宋体"/>
          <w:u w:val="single"/>
        </w:rPr>
        <w:t xml:space="preserve"> </w:t>
      </w:r>
      <w:r>
        <w:rPr>
          <w:rFonts w:ascii="宋体" w:hAnsi="宋体"/>
          <w:u w:val="single"/>
        </w:rPr>
        <w:tab/>
      </w:r>
      <w:r>
        <w:rPr>
          <w:rFonts w:ascii="宋体" w:hAnsi="宋体"/>
        </w:rPr>
        <w:t>；</w:t>
      </w:r>
    </w:p>
    <w:p>
      <w:pPr>
        <w:pStyle w:val="35"/>
        <w:numPr>
          <w:ilvl w:val="2"/>
          <w:numId w:val="20"/>
        </w:numPr>
        <w:tabs>
          <w:tab w:val="left" w:pos="1315"/>
          <w:tab w:val="left" w:pos="8276"/>
        </w:tabs>
        <w:autoSpaceDE w:val="0"/>
        <w:autoSpaceDN w:val="0"/>
        <w:spacing w:before="160" w:line="360" w:lineRule="auto"/>
        <w:ind w:hanging="661" w:firstLineChars="0"/>
        <w:rPr>
          <w:rFonts w:ascii="宋体" w:hAnsi="宋体"/>
        </w:rPr>
      </w:pPr>
      <w:r>
        <w:rPr>
          <w:rFonts w:ascii="宋体" w:hAnsi="宋体"/>
        </w:rPr>
        <w:t>服务地点：</w:t>
      </w:r>
      <w:r>
        <w:rPr>
          <w:rFonts w:ascii="宋体" w:hAnsi="宋体"/>
          <w:u w:val="single"/>
        </w:rPr>
        <w:t xml:space="preserve"> </w:t>
      </w:r>
      <w:r>
        <w:rPr>
          <w:rFonts w:ascii="宋体" w:hAnsi="宋体"/>
          <w:u w:val="single"/>
        </w:rPr>
        <w:tab/>
      </w:r>
      <w:r>
        <w:rPr>
          <w:rFonts w:ascii="宋体" w:hAnsi="宋体"/>
        </w:rPr>
        <w:t>；</w:t>
      </w:r>
    </w:p>
    <w:p>
      <w:pPr>
        <w:pStyle w:val="35"/>
        <w:numPr>
          <w:ilvl w:val="2"/>
          <w:numId w:val="20"/>
        </w:numPr>
        <w:tabs>
          <w:tab w:val="left" w:pos="1315"/>
          <w:tab w:val="left" w:pos="8276"/>
        </w:tabs>
        <w:autoSpaceDE w:val="0"/>
        <w:autoSpaceDN w:val="0"/>
        <w:spacing w:before="161" w:line="360" w:lineRule="auto"/>
        <w:ind w:hanging="661" w:firstLineChars="0"/>
        <w:rPr>
          <w:rFonts w:ascii="宋体" w:hAnsi="宋体"/>
        </w:rPr>
      </w:pPr>
      <w:r>
        <w:rPr>
          <w:rFonts w:ascii="宋体" w:hAnsi="宋体"/>
        </w:rPr>
        <w:t>服务方式：</w:t>
      </w:r>
      <w:r>
        <w:rPr>
          <w:rFonts w:ascii="宋体" w:hAnsi="宋体"/>
          <w:u w:val="single"/>
        </w:rPr>
        <w:t xml:space="preserve"> </w:t>
      </w:r>
      <w:r>
        <w:rPr>
          <w:rFonts w:ascii="宋体" w:hAnsi="宋体"/>
          <w:u w:val="single"/>
        </w:rPr>
        <w:tab/>
      </w:r>
      <w:r>
        <w:rPr>
          <w:rFonts w:ascii="宋体" w:hAnsi="宋体"/>
        </w:rPr>
        <w:t>。</w:t>
      </w:r>
    </w:p>
    <w:p>
      <w:pPr>
        <w:pStyle w:val="5"/>
        <w:numPr>
          <w:ilvl w:val="1"/>
          <w:numId w:val="20"/>
        </w:numPr>
        <w:tabs>
          <w:tab w:val="left" w:pos="1142"/>
        </w:tabs>
        <w:spacing w:before="160" w:line="360" w:lineRule="auto"/>
        <w:rPr>
          <w:sz w:val="21"/>
          <w:szCs w:val="21"/>
        </w:rPr>
      </w:pPr>
      <w:r>
        <w:rPr>
          <w:sz w:val="21"/>
          <w:szCs w:val="21"/>
        </w:rPr>
        <w:t>违约责任</w:t>
      </w:r>
    </w:p>
    <w:p>
      <w:pPr>
        <w:pStyle w:val="35"/>
        <w:numPr>
          <w:ilvl w:val="2"/>
          <w:numId w:val="20"/>
        </w:numPr>
        <w:tabs>
          <w:tab w:val="left" w:pos="1327"/>
        </w:tabs>
        <w:autoSpaceDE w:val="0"/>
        <w:autoSpaceDN w:val="0"/>
        <w:spacing w:before="161" w:line="360" w:lineRule="auto"/>
        <w:ind w:left="220" w:right="356" w:firstLine="434" w:firstLineChars="0"/>
        <w:rPr>
          <w:rFonts w:ascii="宋体" w:hAnsi="宋体"/>
        </w:rPr>
      </w:pPr>
      <w:r>
        <w:rPr>
          <w:rFonts w:ascii="宋体" w:hAnsi="宋体"/>
          <w:spacing w:val="-1"/>
        </w:rPr>
        <w:t>除不可抗力外，如果乙方没有按照本合同约定的期限、地点和方式履</w:t>
      </w:r>
      <w:r>
        <w:rPr>
          <w:rFonts w:ascii="宋体" w:hAnsi="宋体"/>
          <w:spacing w:val="-11"/>
        </w:rPr>
        <w:t>行，那么甲方可要求乙方支付违约金，违约金按每迟延履行一日的应提供而未提</w:t>
      </w:r>
      <w:r>
        <w:rPr>
          <w:rFonts w:ascii="宋体" w:hAnsi="宋体"/>
        </w:rPr>
        <w:t>供服务价格的</w:t>
      </w:r>
      <w:r>
        <w:rPr>
          <w:rFonts w:ascii="宋体" w:hAnsi="宋体"/>
          <w:u w:val="single"/>
        </w:rPr>
        <w:t xml:space="preserve">   </w:t>
      </w:r>
      <w:r>
        <w:rPr>
          <w:rFonts w:ascii="宋体" w:hAnsi="宋体"/>
        </w:rPr>
        <w:t xml:space="preserve"> %计算，最高限额为本合同总价的</w:t>
      </w:r>
      <w:r>
        <w:rPr>
          <w:rFonts w:ascii="宋体" w:hAnsi="宋体"/>
          <w:u w:val="single"/>
        </w:rPr>
        <w:t xml:space="preserve">   </w:t>
      </w:r>
      <w:r>
        <w:rPr>
          <w:rFonts w:ascii="宋体" w:hAnsi="宋体"/>
        </w:rPr>
        <w:t xml:space="preserve"> %；迟延履行的违约金</w:t>
      </w:r>
      <w:r>
        <w:rPr>
          <w:rFonts w:ascii="宋体" w:hAnsi="宋体"/>
          <w:spacing w:val="-7"/>
        </w:rPr>
        <w:t>计算数额达到前述最高限额之日起，甲方有权在要求乙方支付违约金的同时，书</w:t>
      </w:r>
      <w:r>
        <w:rPr>
          <w:rFonts w:ascii="宋体" w:hAnsi="宋体"/>
        </w:rPr>
        <w:t>面通知乙方解除本合同；</w:t>
      </w:r>
    </w:p>
    <w:p>
      <w:pPr>
        <w:pStyle w:val="35"/>
        <w:numPr>
          <w:ilvl w:val="2"/>
          <w:numId w:val="20"/>
        </w:numPr>
        <w:tabs>
          <w:tab w:val="left" w:pos="1327"/>
        </w:tabs>
        <w:autoSpaceDE w:val="0"/>
        <w:autoSpaceDN w:val="0"/>
        <w:spacing w:before="3" w:line="360" w:lineRule="auto"/>
        <w:ind w:left="220" w:right="357" w:firstLine="434" w:firstLineChars="0"/>
        <w:rPr>
          <w:rFonts w:ascii="宋体" w:hAnsi="宋体"/>
        </w:rPr>
      </w:pPr>
      <w:r>
        <w:rPr>
          <w:rFonts w:ascii="宋体" w:hAnsi="宋体"/>
          <w:spacing w:val="-1"/>
        </w:rPr>
        <w:t>除不可抗力外，如果甲方没有按照本合同约定的付款方式付款，那么</w:t>
      </w:r>
      <w:r>
        <w:rPr>
          <w:rFonts w:ascii="宋体" w:hAnsi="宋体"/>
        </w:rPr>
        <w:t>乙方可要求甲方支付违约金，违约金按每迟延付款一日的应付而未付款的</w:t>
      </w:r>
      <w:r>
        <w:rPr>
          <w:rFonts w:ascii="宋体" w:hAnsi="宋体"/>
          <w:u w:val="single"/>
        </w:rPr>
        <w:t xml:space="preserve"> </w:t>
      </w:r>
      <w:r>
        <w:rPr>
          <w:rFonts w:ascii="宋体" w:hAnsi="宋体"/>
          <w:spacing w:val="2"/>
        </w:rPr>
        <w:t xml:space="preserve"> % </w:t>
      </w:r>
      <w:r>
        <w:rPr>
          <w:rFonts w:ascii="宋体" w:hAnsi="宋体"/>
          <w:spacing w:val="-7"/>
        </w:rPr>
        <w:t>计算，最高限额为本合同总价的</w:t>
      </w:r>
      <w:r>
        <w:rPr>
          <w:rFonts w:ascii="宋体" w:hAnsi="宋体"/>
          <w:u w:val="single"/>
        </w:rPr>
        <w:t xml:space="preserve">  </w:t>
      </w:r>
      <w:r>
        <w:rPr>
          <w:rFonts w:ascii="宋体" w:hAnsi="宋体"/>
          <w:spacing w:val="-1"/>
        </w:rPr>
        <w:t xml:space="preserve"> %；迟延付款的违约金计算数额达到前述最</w:t>
      </w:r>
      <w:r>
        <w:rPr>
          <w:rFonts w:ascii="宋体" w:hAnsi="宋体"/>
          <w:spacing w:val="-10"/>
        </w:rPr>
        <w:t>高限额之日起，乙方有权在要求甲方支付违约金的同时，书面通知甲方解除本合</w:t>
      </w:r>
      <w:r>
        <w:rPr>
          <w:rFonts w:ascii="宋体" w:hAnsi="宋体"/>
        </w:rPr>
        <w:t>同；</w:t>
      </w:r>
    </w:p>
    <w:p>
      <w:pPr>
        <w:pStyle w:val="35"/>
        <w:numPr>
          <w:ilvl w:val="2"/>
          <w:numId w:val="20"/>
        </w:numPr>
        <w:tabs>
          <w:tab w:val="left" w:pos="1327"/>
        </w:tabs>
        <w:autoSpaceDE w:val="0"/>
        <w:autoSpaceDN w:val="0"/>
        <w:spacing w:before="4" w:line="360" w:lineRule="auto"/>
        <w:ind w:left="220" w:right="117" w:firstLine="434" w:firstLineChars="0"/>
        <w:rPr>
          <w:rFonts w:ascii="宋体" w:hAnsi="宋体"/>
        </w:rPr>
      </w:pPr>
      <w:r>
        <w:rPr>
          <w:rFonts w:ascii="宋体" w:hAnsi="宋体"/>
        </w:rPr>
        <w:t xml:space="preserve">除不可抗力外，任何一方未能履行本合同约定的其他主要义务，经催 </w:t>
      </w:r>
      <w:r>
        <w:rPr>
          <w:rFonts w:ascii="宋体" w:hAnsi="宋体"/>
          <w:spacing w:val="-7"/>
        </w:rPr>
        <w:t xml:space="preserve">告后在合理期限内仍未履行的，或者任何一方有其他违约行为致使不能实现合同 </w:t>
      </w:r>
      <w:r>
        <w:rPr>
          <w:rFonts w:ascii="宋体" w:hAnsi="宋体"/>
          <w:spacing w:val="-10"/>
        </w:rPr>
        <w:t>目的的，或者任何一方有腐败行为</w:t>
      </w:r>
      <w:r>
        <w:rPr>
          <w:rFonts w:ascii="宋体" w:hAnsi="宋体"/>
        </w:rPr>
        <w:t>（</w:t>
      </w:r>
      <w:r>
        <w:rPr>
          <w:rFonts w:ascii="宋体" w:hAnsi="宋体"/>
          <w:spacing w:val="-6"/>
        </w:rPr>
        <w:t xml:space="preserve">即：提供或给予或接受或索取任何财物或其 </w:t>
      </w:r>
      <w:r>
        <w:rPr>
          <w:rFonts w:ascii="宋体" w:hAnsi="宋体"/>
          <w:spacing w:val="-10"/>
        </w:rPr>
        <w:t>他好处或者采取其他不正当手段影响对方当事人在合同签订、履行过程中的行为</w:t>
      </w:r>
      <w:r>
        <w:rPr>
          <w:rFonts w:ascii="宋体" w:hAnsi="宋体"/>
          <w:spacing w:val="-17"/>
        </w:rPr>
        <w:t xml:space="preserve">） </w:t>
      </w:r>
      <w:r>
        <w:rPr>
          <w:rFonts w:ascii="宋体" w:hAnsi="宋体"/>
          <w:spacing w:val="-8"/>
        </w:rPr>
        <w:t>或者欺诈行为</w:t>
      </w:r>
      <w:r>
        <w:rPr>
          <w:rFonts w:ascii="宋体" w:hAnsi="宋体"/>
        </w:rPr>
        <w:t>（</w:t>
      </w:r>
      <w:r>
        <w:rPr>
          <w:rFonts w:ascii="宋体" w:hAnsi="宋体"/>
          <w:spacing w:val="-7"/>
        </w:rPr>
        <w:t>即：以谎报事实或者隐瞒真相的方法来影响对方当事人在合同签 订、履行过程中的行为）的，对方当事人可以书面通知违约方解除本合同；</w:t>
      </w:r>
    </w:p>
    <w:p>
      <w:pPr>
        <w:pStyle w:val="35"/>
        <w:numPr>
          <w:ilvl w:val="2"/>
          <w:numId w:val="20"/>
        </w:numPr>
        <w:tabs>
          <w:tab w:val="left" w:pos="1327"/>
        </w:tabs>
        <w:autoSpaceDE w:val="0"/>
        <w:autoSpaceDN w:val="0"/>
        <w:spacing w:before="4" w:line="360" w:lineRule="auto"/>
        <w:ind w:left="220" w:right="357" w:firstLine="434" w:firstLineChars="0"/>
        <w:rPr>
          <w:rFonts w:ascii="宋体" w:hAnsi="宋体"/>
        </w:rPr>
      </w:pPr>
      <w:r>
        <w:rPr>
          <w:rFonts w:ascii="宋体" w:hAnsi="宋体"/>
          <w:spacing w:val="-1"/>
        </w:rPr>
        <w:t>任何一方按照前述约定要求违约方支付违约金的同时，仍有权要求违</w:t>
      </w:r>
      <w:r>
        <w:rPr>
          <w:rFonts w:ascii="宋体" w:hAnsi="宋体"/>
          <w:spacing w:val="-10"/>
        </w:rPr>
        <w:t>约方继续履行合同、采取补救措施，并有权按照己方实际损失情况要求违约方赔偿损失；任何一方按照前述约定要求解除本合同的同时，仍有权要求违约方支付</w:t>
      </w:r>
      <w:r>
        <w:rPr>
          <w:rFonts w:ascii="宋体" w:hAnsi="宋体"/>
          <w:spacing w:val="-5"/>
        </w:rPr>
        <w:t>违约金和按照己方实际损失情况要求违约方赔偿损失；且守约方行使的任何权利</w:t>
      </w:r>
      <w:r>
        <w:rPr>
          <w:rFonts w:ascii="宋体" w:hAnsi="宋体"/>
        </w:rPr>
        <w:t>救济方式均不视为其放弃了其他法定或者约定的权利救济方式；</w:t>
      </w:r>
    </w:p>
    <w:p>
      <w:pPr>
        <w:pStyle w:val="35"/>
        <w:numPr>
          <w:ilvl w:val="2"/>
          <w:numId w:val="20"/>
        </w:numPr>
        <w:tabs>
          <w:tab w:val="left" w:pos="1315"/>
        </w:tabs>
        <w:autoSpaceDE w:val="0"/>
        <w:autoSpaceDN w:val="0"/>
        <w:spacing w:before="3" w:line="360" w:lineRule="auto"/>
        <w:ind w:left="220" w:right="359" w:firstLine="434" w:firstLineChars="0"/>
        <w:rPr>
          <w:rFonts w:ascii="宋体" w:hAnsi="宋体"/>
        </w:rPr>
      </w:pPr>
      <w:r>
        <w:rPr>
          <w:rFonts w:ascii="宋体" w:hAnsi="宋体"/>
          <w:spacing w:val="-16"/>
        </w:rPr>
        <w:t xml:space="preserve">除前述约定外，除不可抗力外，任何一方未能履行本合同约定的义务， </w:t>
      </w:r>
      <w:r>
        <w:rPr>
          <w:rFonts w:ascii="宋体" w:hAnsi="宋体"/>
          <w:spacing w:val="-7"/>
        </w:rPr>
        <w:t>对方当事人均有权要求继续履行、采取补救措施或者赔偿损失等，且对方当事人</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2"/>
        <w:spacing w:before="132" w:line="360" w:lineRule="auto"/>
        <w:rPr>
          <w:sz w:val="21"/>
          <w:szCs w:val="21"/>
        </w:rPr>
      </w:pPr>
      <w:r>
        <w:rPr>
          <w:sz w:val="21"/>
          <w:szCs w:val="21"/>
        </w:rPr>
        <w:t>行使的任何权利救济方式均不视为其放弃了其他法定或者约定的权利救济方式；</w:t>
      </w:r>
    </w:p>
    <w:p>
      <w:pPr>
        <w:pStyle w:val="35"/>
        <w:numPr>
          <w:ilvl w:val="2"/>
          <w:numId w:val="20"/>
        </w:numPr>
        <w:tabs>
          <w:tab w:val="left" w:pos="1327"/>
        </w:tabs>
        <w:autoSpaceDE w:val="0"/>
        <w:autoSpaceDN w:val="0"/>
        <w:spacing w:before="160" w:line="360" w:lineRule="auto"/>
        <w:ind w:left="220" w:right="357" w:firstLine="434" w:firstLineChars="0"/>
        <w:rPr>
          <w:rFonts w:ascii="宋体" w:hAnsi="宋体"/>
        </w:rPr>
      </w:pPr>
      <w:r>
        <w:rPr>
          <w:rFonts w:ascii="宋体" w:hAnsi="宋体"/>
          <w:spacing w:val="-1"/>
        </w:rPr>
        <w:t>如果出现政府采购监督管理部门在处理投诉事项期间，书面通知甲方</w:t>
      </w:r>
      <w:r>
        <w:rPr>
          <w:rFonts w:ascii="宋体" w:hAnsi="宋体"/>
          <w:spacing w:val="-8"/>
        </w:rPr>
        <w:t>暂停采购活动的情形，或者询问或质疑事项可能影响中标结果的，导致甲方中止</w:t>
      </w:r>
      <w:r>
        <w:rPr>
          <w:rFonts w:ascii="宋体" w:hAnsi="宋体"/>
        </w:rPr>
        <w:t>履行合同的情形，均不视为甲方违约。</w:t>
      </w:r>
    </w:p>
    <w:p>
      <w:pPr>
        <w:pStyle w:val="5"/>
        <w:numPr>
          <w:ilvl w:val="1"/>
          <w:numId w:val="20"/>
        </w:numPr>
        <w:tabs>
          <w:tab w:val="left" w:pos="1142"/>
        </w:tabs>
        <w:spacing w:before="2" w:line="360" w:lineRule="auto"/>
        <w:rPr>
          <w:sz w:val="21"/>
          <w:szCs w:val="21"/>
        </w:rPr>
      </w:pPr>
      <w:r>
        <w:rPr>
          <w:sz w:val="21"/>
          <w:szCs w:val="21"/>
        </w:rPr>
        <w:t>合同争议的解决</w:t>
      </w:r>
    </w:p>
    <w:p>
      <w:pPr>
        <w:pStyle w:val="2"/>
        <w:tabs>
          <w:tab w:val="left" w:pos="6701"/>
        </w:tabs>
        <w:spacing w:before="161" w:line="360" w:lineRule="auto"/>
        <w:ind w:right="116" w:firstLine="434"/>
        <w:rPr>
          <w:sz w:val="21"/>
          <w:szCs w:val="21"/>
        </w:rPr>
      </w:pPr>
      <w:r>
        <w:rPr>
          <w:sz w:val="21"/>
          <w:szCs w:val="21"/>
        </w:rPr>
        <w:t>本合同履行过程中发生的任何争议</w:t>
      </w:r>
      <w:r>
        <w:rPr>
          <w:spacing w:val="-48"/>
          <w:sz w:val="21"/>
          <w:szCs w:val="21"/>
        </w:rPr>
        <w:t>，</w:t>
      </w:r>
      <w:r>
        <w:rPr>
          <w:sz w:val="21"/>
          <w:szCs w:val="21"/>
        </w:rPr>
        <w:t>双方当事人均可通过和解或者调解解决</w:t>
      </w:r>
      <w:r>
        <w:rPr>
          <w:spacing w:val="-17"/>
          <w:sz w:val="21"/>
          <w:szCs w:val="21"/>
        </w:rPr>
        <w:t xml:space="preserve">； </w:t>
      </w:r>
      <w:r>
        <w:rPr>
          <w:sz w:val="21"/>
          <w:szCs w:val="21"/>
        </w:rPr>
        <w:t>不愿和解、调解或者和解、调解不成的，可以选择下列第</w:t>
      </w:r>
      <w:r>
        <w:rPr>
          <w:sz w:val="21"/>
          <w:szCs w:val="21"/>
          <w:u w:val="single"/>
        </w:rPr>
        <w:t xml:space="preserve"> </w:t>
      </w:r>
      <w:r>
        <w:rPr>
          <w:sz w:val="21"/>
          <w:szCs w:val="21"/>
          <w:u w:val="single"/>
        </w:rPr>
        <w:tab/>
      </w:r>
      <w:r>
        <w:rPr>
          <w:sz w:val="21"/>
          <w:szCs w:val="21"/>
        </w:rPr>
        <w:t>种方式解决：</w:t>
      </w:r>
    </w:p>
    <w:p>
      <w:pPr>
        <w:pStyle w:val="35"/>
        <w:numPr>
          <w:ilvl w:val="2"/>
          <w:numId w:val="20"/>
        </w:numPr>
        <w:tabs>
          <w:tab w:val="left" w:pos="1327"/>
          <w:tab w:val="left" w:pos="4207"/>
        </w:tabs>
        <w:autoSpaceDE w:val="0"/>
        <w:autoSpaceDN w:val="0"/>
        <w:spacing w:before="1" w:line="360" w:lineRule="auto"/>
        <w:ind w:left="220" w:right="358" w:firstLine="434" w:firstLineChars="0"/>
        <w:rPr>
          <w:rFonts w:ascii="宋体" w:hAnsi="宋体"/>
        </w:rPr>
      </w:pPr>
      <w:r>
        <w:rPr>
          <w:rFonts w:ascii="宋体" w:hAnsi="宋体"/>
        </w:rPr>
        <w:t>将争议提交</w:t>
      </w:r>
      <w:r>
        <w:rPr>
          <w:rFonts w:ascii="宋体" w:hAnsi="宋体"/>
          <w:u w:val="single"/>
        </w:rPr>
        <w:t xml:space="preserve"> </w:t>
      </w:r>
      <w:r>
        <w:rPr>
          <w:rFonts w:ascii="宋体" w:hAnsi="宋体"/>
          <w:u w:val="single"/>
        </w:rPr>
        <w:tab/>
      </w:r>
      <w:r>
        <w:rPr>
          <w:rFonts w:ascii="宋体" w:hAnsi="宋体"/>
        </w:rPr>
        <w:t>仲裁委员会依申请仲裁时其现行有效的</w:t>
      </w:r>
      <w:r>
        <w:rPr>
          <w:rFonts w:ascii="宋体" w:hAnsi="宋体"/>
          <w:spacing w:val="-19"/>
        </w:rPr>
        <w:t>仲</w:t>
      </w:r>
      <w:r>
        <w:rPr>
          <w:rFonts w:ascii="宋体" w:hAnsi="宋体"/>
        </w:rPr>
        <w:t>裁规则裁决；</w:t>
      </w:r>
    </w:p>
    <w:p>
      <w:pPr>
        <w:pStyle w:val="35"/>
        <w:numPr>
          <w:ilvl w:val="2"/>
          <w:numId w:val="20"/>
        </w:numPr>
        <w:tabs>
          <w:tab w:val="left" w:pos="1315"/>
          <w:tab w:val="left" w:pos="4435"/>
        </w:tabs>
        <w:autoSpaceDE w:val="0"/>
        <w:autoSpaceDN w:val="0"/>
        <w:spacing w:before="2" w:line="360" w:lineRule="auto"/>
        <w:ind w:hanging="661" w:firstLineChars="0"/>
        <w:rPr>
          <w:rFonts w:ascii="宋体" w:hAnsi="宋体"/>
        </w:rPr>
      </w:pPr>
      <w:r>
        <w:rPr>
          <w:rFonts w:ascii="宋体" w:hAnsi="宋体"/>
        </w:rPr>
        <w:t>向</w:t>
      </w:r>
      <w:r>
        <w:rPr>
          <w:rFonts w:ascii="宋体" w:hAnsi="宋体"/>
          <w:u w:val="single"/>
        </w:rPr>
        <w:t xml:space="preserve"> </w:t>
      </w:r>
      <w:r>
        <w:rPr>
          <w:rFonts w:ascii="宋体" w:hAnsi="宋体"/>
          <w:u w:val="single"/>
        </w:rPr>
        <w:tab/>
      </w:r>
      <w:r>
        <w:rPr>
          <w:rFonts w:ascii="宋体" w:hAnsi="宋体"/>
        </w:rPr>
        <w:t>人民法院起诉。</w:t>
      </w:r>
    </w:p>
    <w:p>
      <w:pPr>
        <w:pStyle w:val="5"/>
        <w:numPr>
          <w:ilvl w:val="1"/>
          <w:numId w:val="20"/>
        </w:numPr>
        <w:tabs>
          <w:tab w:val="left" w:pos="1142"/>
        </w:tabs>
        <w:spacing w:before="160" w:line="360" w:lineRule="auto"/>
        <w:rPr>
          <w:sz w:val="21"/>
          <w:szCs w:val="21"/>
        </w:rPr>
      </w:pPr>
      <w:r>
        <w:rPr>
          <w:sz w:val="21"/>
          <w:szCs w:val="21"/>
        </w:rPr>
        <w:t>合同生效</w:t>
      </w:r>
    </w:p>
    <w:p>
      <w:pPr>
        <w:pStyle w:val="2"/>
        <w:spacing w:before="161" w:line="360" w:lineRule="auto"/>
        <w:ind w:left="654"/>
        <w:rPr>
          <w:sz w:val="21"/>
          <w:szCs w:val="21"/>
        </w:rPr>
      </w:pPr>
      <w:r>
        <w:rPr>
          <w:sz w:val="21"/>
          <w:szCs w:val="21"/>
        </w:rPr>
        <w:t>本合同自双方当事人盖章时生效。</w:t>
      </w: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before="10" w:line="360" w:lineRule="auto"/>
        <w:rPr>
          <w:sz w:val="21"/>
          <w:szCs w:val="21"/>
        </w:rPr>
      </w:pPr>
    </w:p>
    <w:p>
      <w:pPr>
        <w:pStyle w:val="2"/>
        <w:tabs>
          <w:tab w:val="left" w:pos="940"/>
          <w:tab w:val="left" w:pos="1900"/>
          <w:tab w:val="left" w:pos="3940"/>
          <w:tab w:val="left" w:pos="5141"/>
          <w:tab w:val="left" w:pos="6341"/>
          <w:tab w:val="left" w:pos="8381"/>
        </w:tabs>
        <w:spacing w:line="360" w:lineRule="auto"/>
        <w:rPr>
          <w:sz w:val="21"/>
          <w:szCs w:val="21"/>
        </w:rPr>
      </w:pPr>
      <w:r>
        <w:rPr>
          <w:sz w:val="21"/>
          <w:szCs w:val="21"/>
        </w:rPr>
        <w:t>甲</w:t>
      </w:r>
      <w:r>
        <w:rPr>
          <w:sz w:val="21"/>
          <w:szCs w:val="21"/>
        </w:rPr>
        <w:tab/>
      </w:r>
      <w:r>
        <w:rPr>
          <w:sz w:val="21"/>
          <w:szCs w:val="21"/>
        </w:rPr>
        <w:t>方：</w:t>
      </w:r>
      <w:r>
        <w:rPr>
          <w:sz w:val="21"/>
          <w:szCs w:val="21"/>
          <w:u w:val="single"/>
        </w:rPr>
        <w:t xml:space="preserve"> </w:t>
      </w:r>
      <w:r>
        <w:rPr>
          <w:sz w:val="21"/>
          <w:szCs w:val="21"/>
          <w:u w:val="single"/>
        </w:rPr>
        <w:tab/>
      </w:r>
      <w:r>
        <w:rPr>
          <w:sz w:val="21"/>
          <w:szCs w:val="21"/>
          <w:u w:val="single"/>
        </w:rPr>
        <w:t>（单位盖章）</w:t>
      </w:r>
      <w:r>
        <w:rPr>
          <w:sz w:val="21"/>
          <w:szCs w:val="21"/>
          <w:u w:val="single"/>
        </w:rPr>
        <w:tab/>
      </w:r>
      <w:r>
        <w:rPr>
          <w:sz w:val="21"/>
          <w:szCs w:val="21"/>
        </w:rPr>
        <w:tab/>
      </w:r>
      <w:r>
        <w:rPr>
          <w:sz w:val="21"/>
          <w:szCs w:val="21"/>
        </w:rPr>
        <w:t>乙方：</w:t>
      </w:r>
      <w:r>
        <w:rPr>
          <w:sz w:val="21"/>
          <w:szCs w:val="21"/>
          <w:u w:val="single"/>
        </w:rPr>
        <w:t xml:space="preserve"> </w:t>
      </w:r>
      <w:r>
        <w:rPr>
          <w:sz w:val="21"/>
          <w:szCs w:val="21"/>
          <w:u w:val="single"/>
        </w:rPr>
        <w:tab/>
      </w:r>
      <w:r>
        <w:rPr>
          <w:sz w:val="21"/>
          <w:szCs w:val="21"/>
          <w:u w:val="single"/>
        </w:rPr>
        <w:t>（单位盖章）</w:t>
      </w:r>
      <w:r>
        <w:rPr>
          <w:sz w:val="21"/>
          <w:szCs w:val="21"/>
          <w:u w:val="single"/>
        </w:rPr>
        <w:tab/>
      </w:r>
    </w:p>
    <w:p>
      <w:pPr>
        <w:pStyle w:val="2"/>
        <w:spacing w:before="6" w:line="360" w:lineRule="auto"/>
        <w:rPr>
          <w:sz w:val="21"/>
          <w:szCs w:val="21"/>
        </w:rPr>
      </w:pPr>
    </w:p>
    <w:p>
      <w:pPr>
        <w:pStyle w:val="2"/>
        <w:tabs>
          <w:tab w:val="left" w:pos="5141"/>
        </w:tabs>
        <w:spacing w:before="66" w:line="360" w:lineRule="auto"/>
        <w:rPr>
          <w:sz w:val="21"/>
          <w:szCs w:val="21"/>
        </w:rPr>
      </w:pPr>
      <w:r>
        <w:rPr>
          <w:sz w:val="21"/>
          <w:szCs w:val="21"/>
        </w:rPr>
        <w:t>法定代表人</w:t>
      </w:r>
      <w:r>
        <w:rPr>
          <w:sz w:val="21"/>
          <w:szCs w:val="21"/>
        </w:rPr>
        <w:tab/>
      </w:r>
      <w:r>
        <w:rPr>
          <w:sz w:val="21"/>
          <w:szCs w:val="21"/>
        </w:rPr>
        <w:t>法定代表人</w:t>
      </w:r>
    </w:p>
    <w:p>
      <w:pPr>
        <w:pStyle w:val="2"/>
        <w:spacing w:before="11" w:line="360" w:lineRule="auto"/>
        <w:rPr>
          <w:sz w:val="21"/>
          <w:szCs w:val="21"/>
        </w:rPr>
      </w:pPr>
    </w:p>
    <w:p>
      <w:pPr>
        <w:pStyle w:val="2"/>
        <w:tabs>
          <w:tab w:val="left" w:pos="5141"/>
        </w:tabs>
        <w:spacing w:line="360" w:lineRule="auto"/>
        <w:rPr>
          <w:sz w:val="21"/>
          <w:szCs w:val="21"/>
        </w:rPr>
      </w:pPr>
      <w:r>
        <w:rPr>
          <w:sz w:val="21"/>
          <w:szCs w:val="21"/>
        </w:rPr>
        <w:t>或授权代表（签字</w:t>
      </w:r>
      <w:r>
        <w:rPr>
          <w:spacing w:val="-120"/>
          <w:sz w:val="21"/>
          <w:szCs w:val="21"/>
        </w:rPr>
        <w:t>）</w:t>
      </w:r>
      <w:r>
        <w:rPr>
          <w:rFonts w:hint="eastAsia"/>
          <w:sz w:val="21"/>
          <w:szCs w:val="21"/>
        </w:rPr>
        <w:t>）：</w:t>
      </w:r>
      <w:r>
        <w:rPr>
          <w:sz w:val="21"/>
          <w:szCs w:val="21"/>
        </w:rPr>
        <w:tab/>
      </w:r>
      <w:r>
        <w:rPr>
          <w:sz w:val="21"/>
          <w:szCs w:val="21"/>
        </w:rPr>
        <w:t>或授权代表（签字</w:t>
      </w:r>
      <w:r>
        <w:rPr>
          <w:spacing w:val="-120"/>
          <w:sz w:val="21"/>
          <w:szCs w:val="21"/>
        </w:rPr>
        <w:t>））</w:t>
      </w:r>
      <w:r>
        <w:rPr>
          <w:rFonts w:hint="eastAsia"/>
          <w:sz w:val="21"/>
          <w:szCs w:val="21"/>
        </w:rPr>
        <w:t>）：</w:t>
      </w:r>
    </w:p>
    <w:p>
      <w:pPr>
        <w:pStyle w:val="2"/>
        <w:spacing w:before="8" w:line="360" w:lineRule="auto"/>
        <w:rPr>
          <w:sz w:val="21"/>
          <w:szCs w:val="21"/>
        </w:rPr>
      </w:pPr>
    </w:p>
    <w:p>
      <w:pPr>
        <w:pStyle w:val="2"/>
        <w:tabs>
          <w:tab w:val="left" w:pos="1660"/>
          <w:tab w:val="left" w:pos="2380"/>
          <w:tab w:val="left" w:pos="3100"/>
          <w:tab w:val="left" w:pos="5141"/>
          <w:tab w:val="left" w:pos="6581"/>
          <w:tab w:val="left" w:pos="7301"/>
          <w:tab w:val="left" w:pos="8021"/>
        </w:tabs>
        <w:spacing w:line="360" w:lineRule="auto"/>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sz w:val="21"/>
          <w:szCs w:val="21"/>
        </w:rPr>
        <w:tab/>
      </w: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5"/>
        <w:spacing w:line="360" w:lineRule="auto"/>
        <w:ind w:left="1367" w:right="1505"/>
        <w:jc w:val="center"/>
        <w:rPr>
          <w:sz w:val="21"/>
          <w:szCs w:val="21"/>
        </w:rPr>
      </w:pPr>
      <w:r>
        <w:rPr>
          <w:sz w:val="21"/>
          <w:szCs w:val="21"/>
        </w:rPr>
        <w:t>第二部分 合同一般条款</w:t>
      </w:r>
    </w:p>
    <w:p>
      <w:pPr>
        <w:pStyle w:val="5"/>
        <w:numPr>
          <w:ilvl w:val="1"/>
          <w:numId w:val="21"/>
        </w:numPr>
        <w:tabs>
          <w:tab w:val="left" w:pos="1142"/>
        </w:tabs>
        <w:spacing w:before="160" w:line="360" w:lineRule="auto"/>
        <w:rPr>
          <w:sz w:val="21"/>
          <w:szCs w:val="21"/>
        </w:rPr>
      </w:pPr>
      <w:r>
        <w:rPr>
          <w:sz w:val="21"/>
          <w:szCs w:val="21"/>
        </w:rPr>
        <w:t>定义</w:t>
      </w:r>
    </w:p>
    <w:p>
      <w:pPr>
        <w:pStyle w:val="2"/>
        <w:spacing w:before="161" w:line="360" w:lineRule="auto"/>
        <w:ind w:left="654"/>
        <w:rPr>
          <w:sz w:val="21"/>
          <w:szCs w:val="21"/>
        </w:rPr>
      </w:pPr>
      <w:r>
        <w:rPr>
          <w:sz w:val="21"/>
          <w:szCs w:val="21"/>
        </w:rPr>
        <w:t>本合同中的下列词语应按以下内容进行解释：</w:t>
      </w:r>
    </w:p>
    <w:p>
      <w:pPr>
        <w:pStyle w:val="35"/>
        <w:numPr>
          <w:ilvl w:val="2"/>
          <w:numId w:val="21"/>
        </w:numPr>
        <w:tabs>
          <w:tab w:val="left" w:pos="1256"/>
        </w:tabs>
        <w:autoSpaceDE w:val="0"/>
        <w:autoSpaceDN w:val="0"/>
        <w:spacing w:before="160" w:line="360" w:lineRule="auto"/>
        <w:ind w:right="358" w:firstLine="434" w:firstLineChars="0"/>
        <w:rPr>
          <w:rFonts w:ascii="宋体" w:hAnsi="宋体"/>
        </w:rPr>
      </w:pPr>
      <w:r>
        <w:rPr>
          <w:rFonts w:ascii="宋体" w:hAnsi="宋体"/>
        </w:rPr>
        <w:t>“合同”系指采购人和中标人签订的载明双方当事人所达成的协议， 并包括所有的附件、附录和构成合同的其他文件。</w:t>
      </w:r>
    </w:p>
    <w:p>
      <w:pPr>
        <w:pStyle w:val="35"/>
        <w:numPr>
          <w:ilvl w:val="2"/>
          <w:numId w:val="21"/>
        </w:numPr>
        <w:tabs>
          <w:tab w:val="left" w:pos="1256"/>
        </w:tabs>
        <w:autoSpaceDE w:val="0"/>
        <w:autoSpaceDN w:val="0"/>
        <w:spacing w:before="2" w:line="360" w:lineRule="auto"/>
        <w:ind w:right="356" w:firstLine="434" w:firstLineChars="0"/>
        <w:rPr>
          <w:rFonts w:ascii="宋体" w:hAnsi="宋体"/>
        </w:rPr>
      </w:pPr>
      <w:r>
        <w:rPr>
          <w:rFonts w:ascii="宋体" w:hAnsi="宋体"/>
        </w:rPr>
        <w:t>“合同价”系指根据合同约定，中标人在完全履行合同义务后，采购人应支付给中标人的价格。</w:t>
      </w:r>
    </w:p>
    <w:p>
      <w:pPr>
        <w:pStyle w:val="35"/>
        <w:numPr>
          <w:ilvl w:val="2"/>
          <w:numId w:val="21"/>
        </w:numPr>
        <w:tabs>
          <w:tab w:val="left" w:pos="1256"/>
        </w:tabs>
        <w:autoSpaceDE w:val="0"/>
        <w:autoSpaceDN w:val="0"/>
        <w:spacing w:before="1" w:line="360" w:lineRule="auto"/>
        <w:ind w:right="356" w:firstLine="434" w:firstLineChars="0"/>
        <w:rPr>
          <w:rFonts w:ascii="宋体" w:hAnsi="宋体"/>
        </w:rPr>
      </w:pPr>
      <w:r>
        <w:rPr>
          <w:rFonts w:ascii="宋体" w:hAnsi="宋体"/>
        </w:rPr>
        <w:t>“服务”系指中标人根据合同约定应向采购人履行的除货物和工程以</w:t>
      </w:r>
      <w:r>
        <w:rPr>
          <w:rFonts w:ascii="宋体" w:hAnsi="宋体"/>
          <w:spacing w:val="-10"/>
        </w:rPr>
        <w:t>外的其他政府采购对象，包括采购人自身需要的服务和向社会公众提供的公共服</w:t>
      </w:r>
      <w:r>
        <w:rPr>
          <w:rFonts w:ascii="宋体" w:hAnsi="宋体"/>
        </w:rPr>
        <w:t>务。</w:t>
      </w:r>
    </w:p>
    <w:p>
      <w:pPr>
        <w:pStyle w:val="35"/>
        <w:numPr>
          <w:ilvl w:val="2"/>
          <w:numId w:val="21"/>
        </w:numPr>
        <w:tabs>
          <w:tab w:val="left" w:pos="1256"/>
        </w:tabs>
        <w:autoSpaceDE w:val="0"/>
        <w:autoSpaceDN w:val="0"/>
        <w:spacing w:before="2" w:line="360" w:lineRule="auto"/>
        <w:ind w:right="356" w:firstLine="434" w:firstLineChars="0"/>
        <w:rPr>
          <w:rFonts w:ascii="宋体" w:hAnsi="宋体"/>
        </w:rPr>
      </w:pPr>
      <w:r>
        <w:rPr>
          <w:rFonts w:ascii="宋体" w:hAnsi="宋体"/>
        </w:rPr>
        <w:t>“甲方”系指与中标人签署合同的采购人；采购人委托采购代理机构代表其与乙方签订合同的，采购人的授权委托书作为合同附件。</w:t>
      </w:r>
    </w:p>
    <w:p>
      <w:pPr>
        <w:pStyle w:val="35"/>
        <w:numPr>
          <w:ilvl w:val="2"/>
          <w:numId w:val="21"/>
        </w:numPr>
        <w:tabs>
          <w:tab w:val="left" w:pos="1256"/>
        </w:tabs>
        <w:autoSpaceDE w:val="0"/>
        <w:autoSpaceDN w:val="0"/>
        <w:spacing w:before="1" w:line="360" w:lineRule="auto"/>
        <w:ind w:right="244" w:firstLine="434" w:firstLineChars="0"/>
        <w:rPr>
          <w:rFonts w:ascii="宋体" w:hAnsi="宋体"/>
        </w:rPr>
      </w:pPr>
      <w:r>
        <w:rPr>
          <w:rFonts w:ascii="宋体" w:hAnsi="宋体"/>
        </w:rPr>
        <w:t>“乙方”系指根据合同约定提供服务的中标人；两个以上的自然人、</w:t>
      </w:r>
      <w:r>
        <w:rPr>
          <w:rFonts w:ascii="宋体" w:hAnsi="宋体"/>
          <w:spacing w:val="-1"/>
        </w:rPr>
        <w:t xml:space="preserve">法人或者其他组织组成一个联合体，以一个供应商的身份共同参加政府采购的， </w:t>
      </w:r>
      <w:r>
        <w:rPr>
          <w:rFonts w:ascii="宋体" w:hAnsi="宋体"/>
          <w:spacing w:val="-4"/>
        </w:rPr>
        <w:t>联合体各方均应为乙方或者与乙方相同地位的合同当事人，并就合同约定的事项对甲方承担连带责任。</w:t>
      </w:r>
    </w:p>
    <w:p>
      <w:pPr>
        <w:pStyle w:val="35"/>
        <w:numPr>
          <w:ilvl w:val="2"/>
          <w:numId w:val="21"/>
        </w:numPr>
        <w:tabs>
          <w:tab w:val="left" w:pos="1256"/>
        </w:tabs>
        <w:autoSpaceDE w:val="0"/>
        <w:autoSpaceDN w:val="0"/>
        <w:spacing w:before="3" w:line="360" w:lineRule="auto"/>
        <w:ind w:left="1255" w:hanging="602" w:firstLineChars="0"/>
        <w:rPr>
          <w:rFonts w:ascii="宋体" w:hAnsi="宋体"/>
        </w:rPr>
      </w:pPr>
      <w:r>
        <w:rPr>
          <w:rFonts w:ascii="宋体" w:hAnsi="宋体"/>
        </w:rPr>
        <w:t>“现场”系指合同约定提供服务的地点。</w:t>
      </w:r>
    </w:p>
    <w:p>
      <w:pPr>
        <w:pStyle w:val="5"/>
        <w:numPr>
          <w:ilvl w:val="1"/>
          <w:numId w:val="21"/>
        </w:numPr>
        <w:tabs>
          <w:tab w:val="left" w:pos="1142"/>
        </w:tabs>
        <w:spacing w:before="161" w:line="360" w:lineRule="auto"/>
        <w:rPr>
          <w:sz w:val="21"/>
          <w:szCs w:val="21"/>
        </w:rPr>
      </w:pPr>
      <w:r>
        <w:rPr>
          <w:sz w:val="21"/>
          <w:szCs w:val="21"/>
        </w:rPr>
        <w:t>技术规范</w:t>
      </w:r>
    </w:p>
    <w:p>
      <w:pPr>
        <w:pStyle w:val="2"/>
        <w:spacing w:before="160" w:line="360" w:lineRule="auto"/>
        <w:ind w:right="356" w:firstLine="434"/>
        <w:jc w:val="both"/>
        <w:rPr>
          <w:sz w:val="21"/>
          <w:szCs w:val="21"/>
        </w:rPr>
      </w:pPr>
      <w:r>
        <w:rPr>
          <w:sz w:val="21"/>
          <w:szCs w:val="21"/>
        </w:rPr>
        <w:t>货物所应遵守的技术规范应与采购文件规定的技术规范和技术规范附件(如</w:t>
      </w:r>
      <w:r>
        <w:rPr>
          <w:spacing w:val="-1"/>
          <w:sz w:val="21"/>
          <w:szCs w:val="21"/>
        </w:rPr>
        <w:t>果有的话)及其技术规范偏差表(如果被甲方接受的话)相一致；如果采购文件中</w:t>
      </w:r>
      <w:r>
        <w:rPr>
          <w:spacing w:val="-9"/>
          <w:sz w:val="21"/>
          <w:szCs w:val="21"/>
        </w:rPr>
        <w:t>没有技术规范的相应说明，那么应以国家有关部门最新颁布的相应标准和规范为</w:t>
      </w:r>
      <w:r>
        <w:rPr>
          <w:sz w:val="21"/>
          <w:szCs w:val="21"/>
        </w:rPr>
        <w:t>准。</w:t>
      </w:r>
    </w:p>
    <w:p>
      <w:pPr>
        <w:pStyle w:val="5"/>
        <w:numPr>
          <w:ilvl w:val="1"/>
          <w:numId w:val="21"/>
        </w:numPr>
        <w:tabs>
          <w:tab w:val="left" w:pos="1142"/>
        </w:tabs>
        <w:spacing w:before="3" w:line="360" w:lineRule="auto"/>
        <w:rPr>
          <w:sz w:val="21"/>
          <w:szCs w:val="21"/>
        </w:rPr>
      </w:pPr>
      <w:r>
        <w:rPr>
          <w:sz w:val="21"/>
          <w:szCs w:val="21"/>
        </w:rPr>
        <w:t>知识产权</w:t>
      </w:r>
    </w:p>
    <w:p>
      <w:pPr>
        <w:pStyle w:val="35"/>
        <w:numPr>
          <w:ilvl w:val="2"/>
          <w:numId w:val="21"/>
        </w:numPr>
        <w:tabs>
          <w:tab w:val="left" w:pos="1327"/>
        </w:tabs>
        <w:autoSpaceDE w:val="0"/>
        <w:autoSpaceDN w:val="0"/>
        <w:spacing w:before="161" w:line="360" w:lineRule="auto"/>
        <w:ind w:right="356" w:firstLine="434" w:firstLineChars="0"/>
        <w:rPr>
          <w:rFonts w:ascii="宋体" w:hAnsi="宋体"/>
        </w:rPr>
      </w:pPr>
      <w:r>
        <w:rPr>
          <w:rFonts w:ascii="宋体" w:hAnsi="宋体"/>
          <w:spacing w:val="-1"/>
        </w:rPr>
        <w:t>乙方应保证其提供的服务不受任何第三方提出的侵犯其著作权、商标</w:t>
      </w:r>
      <w:r>
        <w:rPr>
          <w:rFonts w:ascii="宋体" w:hAnsi="宋体"/>
          <w:spacing w:val="-10"/>
        </w:rPr>
        <w:t>权、专利权等知识产权方面的起诉；如果任何第三方提出侵权指控，那么乙方须</w:t>
      </w:r>
      <w:r>
        <w:rPr>
          <w:rFonts w:ascii="宋体" w:hAnsi="宋体"/>
        </w:rPr>
        <w:t>与该第三方交涉并承担由此发生的一切责任、费用和赔偿；</w:t>
      </w:r>
    </w:p>
    <w:p>
      <w:pPr>
        <w:pStyle w:val="35"/>
        <w:numPr>
          <w:ilvl w:val="2"/>
          <w:numId w:val="21"/>
        </w:numPr>
        <w:tabs>
          <w:tab w:val="left" w:pos="1322"/>
        </w:tabs>
        <w:autoSpaceDE w:val="0"/>
        <w:autoSpaceDN w:val="0"/>
        <w:spacing w:line="360" w:lineRule="auto"/>
        <w:ind w:right="356" w:firstLine="434" w:firstLineChars="0"/>
        <w:rPr>
          <w:rFonts w:ascii="宋体" w:hAnsi="宋体"/>
        </w:rPr>
      </w:pPr>
      <w:r>
        <w:rPr>
          <w:rFonts w:ascii="宋体" w:hAnsi="宋体"/>
          <w:spacing w:val="-10"/>
        </w:rPr>
        <w:t>具有知识产权的计算机软件等货物的知识产权归属，详见</w:t>
      </w:r>
      <w:r>
        <w:rPr>
          <w:rFonts w:ascii="宋体" w:hAnsi="宋体"/>
          <w:b/>
          <w:u w:val="single"/>
        </w:rPr>
        <w:t>合同专用条款</w:t>
      </w:r>
      <w:r>
        <w:rPr>
          <w:rFonts w:ascii="宋体" w:hAnsi="宋体"/>
        </w:rPr>
        <w:t>。</w:t>
      </w:r>
    </w:p>
    <w:p>
      <w:pPr>
        <w:pStyle w:val="5"/>
        <w:numPr>
          <w:ilvl w:val="1"/>
          <w:numId w:val="21"/>
        </w:numPr>
        <w:tabs>
          <w:tab w:val="left" w:pos="1142"/>
        </w:tabs>
        <w:spacing w:before="3" w:line="360" w:lineRule="auto"/>
        <w:rPr>
          <w:sz w:val="21"/>
          <w:szCs w:val="21"/>
        </w:rPr>
      </w:pPr>
      <w:r>
        <w:rPr>
          <w:sz w:val="21"/>
          <w:szCs w:val="21"/>
        </w:rPr>
        <w:t>履约检查和问题反馈</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35"/>
        <w:numPr>
          <w:ilvl w:val="2"/>
          <w:numId w:val="21"/>
        </w:numPr>
        <w:tabs>
          <w:tab w:val="left" w:pos="1327"/>
        </w:tabs>
        <w:autoSpaceDE w:val="0"/>
        <w:autoSpaceDN w:val="0"/>
        <w:spacing w:before="132" w:line="360" w:lineRule="auto"/>
        <w:ind w:right="356" w:firstLine="434" w:firstLineChars="0"/>
        <w:rPr>
          <w:rFonts w:ascii="宋体" w:hAnsi="宋体"/>
        </w:rPr>
      </w:pPr>
      <w:r>
        <w:rPr>
          <w:rFonts w:ascii="宋体" w:hAnsi="宋体"/>
          <w:spacing w:val="-1"/>
        </w:rPr>
        <w:t>甲方有权在其认为必要时，对乙方是否能够按照合同约定提供服务进</w:t>
      </w:r>
      <w:r>
        <w:rPr>
          <w:rFonts w:ascii="宋体" w:hAnsi="宋体"/>
          <w:spacing w:val="-10"/>
        </w:rPr>
        <w:t>行履约检查，以确保乙方所提供的服务能够依约满足甲方项目需求，但不得因履</w:t>
      </w:r>
      <w:r>
        <w:rPr>
          <w:rFonts w:ascii="宋体" w:hAnsi="宋体"/>
        </w:rPr>
        <w:t>约检查妨碍乙方的正常工作，乙方应予积极配合；</w:t>
      </w:r>
    </w:p>
    <w:p>
      <w:pPr>
        <w:pStyle w:val="35"/>
        <w:numPr>
          <w:ilvl w:val="2"/>
          <w:numId w:val="21"/>
        </w:numPr>
        <w:tabs>
          <w:tab w:val="left" w:pos="1327"/>
        </w:tabs>
        <w:autoSpaceDE w:val="0"/>
        <w:autoSpaceDN w:val="0"/>
        <w:spacing w:before="2" w:line="360" w:lineRule="auto"/>
        <w:ind w:right="357" w:firstLine="434" w:firstLineChars="0"/>
        <w:rPr>
          <w:rFonts w:ascii="宋体" w:hAnsi="宋体"/>
        </w:rPr>
      </w:pPr>
      <w:r>
        <w:rPr>
          <w:rFonts w:ascii="宋体" w:hAnsi="宋体"/>
          <w:spacing w:val="-1"/>
        </w:rPr>
        <w:t>合同履行期间，甲方有权将履行过程中出现的问题反馈给乙方，双方</w:t>
      </w:r>
      <w:r>
        <w:rPr>
          <w:rFonts w:ascii="宋体" w:hAnsi="宋体"/>
        </w:rPr>
        <w:t>当事人应以书面形式约定需要完善和改进的内容。</w:t>
      </w:r>
    </w:p>
    <w:p>
      <w:pPr>
        <w:pStyle w:val="35"/>
        <w:numPr>
          <w:ilvl w:val="1"/>
          <w:numId w:val="21"/>
        </w:numPr>
        <w:tabs>
          <w:tab w:val="left" w:pos="1142"/>
        </w:tabs>
        <w:autoSpaceDE w:val="0"/>
        <w:autoSpaceDN w:val="0"/>
        <w:spacing w:before="1" w:line="360" w:lineRule="auto"/>
        <w:ind w:left="654" w:right="5575" w:firstLine="2" w:firstLineChars="0"/>
        <w:rPr>
          <w:rFonts w:ascii="宋体" w:hAnsi="宋体"/>
        </w:rPr>
      </w:pPr>
      <w:r>
        <w:rPr>
          <w:rFonts w:ascii="宋体" w:hAnsi="宋体"/>
          <w:b/>
          <w:spacing w:val="-2"/>
        </w:rPr>
        <w:t>结算方式和付款条件</w:t>
      </w:r>
      <w:r>
        <w:rPr>
          <w:rFonts w:ascii="宋体" w:hAnsi="宋体"/>
        </w:rPr>
        <w:t>详见</w:t>
      </w:r>
      <w:r>
        <w:rPr>
          <w:rFonts w:ascii="宋体" w:hAnsi="宋体"/>
          <w:b/>
          <w:u w:val="single"/>
        </w:rPr>
        <w:t>合同专用条款</w:t>
      </w:r>
      <w:r>
        <w:rPr>
          <w:rFonts w:ascii="宋体" w:hAnsi="宋体"/>
        </w:rPr>
        <w:t>。</w:t>
      </w:r>
    </w:p>
    <w:p>
      <w:pPr>
        <w:pStyle w:val="5"/>
        <w:numPr>
          <w:ilvl w:val="1"/>
          <w:numId w:val="21"/>
        </w:numPr>
        <w:tabs>
          <w:tab w:val="left" w:pos="1142"/>
        </w:tabs>
        <w:spacing w:before="1" w:line="360" w:lineRule="auto"/>
        <w:rPr>
          <w:sz w:val="21"/>
          <w:szCs w:val="21"/>
        </w:rPr>
      </w:pPr>
      <w:r>
        <w:rPr>
          <w:sz w:val="21"/>
          <w:szCs w:val="21"/>
        </w:rPr>
        <w:t>技术资料和保密义务</w:t>
      </w:r>
    </w:p>
    <w:p>
      <w:pPr>
        <w:pStyle w:val="35"/>
        <w:numPr>
          <w:ilvl w:val="2"/>
          <w:numId w:val="21"/>
        </w:numPr>
        <w:tabs>
          <w:tab w:val="left" w:pos="1327"/>
        </w:tabs>
        <w:autoSpaceDE w:val="0"/>
        <w:autoSpaceDN w:val="0"/>
        <w:spacing w:before="160" w:line="360" w:lineRule="auto"/>
        <w:ind w:right="357" w:firstLine="434" w:firstLineChars="0"/>
        <w:rPr>
          <w:rFonts w:ascii="宋体" w:hAnsi="宋体"/>
        </w:rPr>
      </w:pPr>
      <w:r>
        <w:rPr>
          <w:rFonts w:ascii="宋体" w:hAnsi="宋体"/>
          <w:spacing w:val="-1"/>
        </w:rPr>
        <w:t>乙方有权依据合同约定和项目需要，向甲方了解有关情况，调阅有关</w:t>
      </w:r>
      <w:r>
        <w:rPr>
          <w:rFonts w:ascii="宋体" w:hAnsi="宋体"/>
        </w:rPr>
        <w:t>资料等，甲方应予积极配合；</w:t>
      </w:r>
    </w:p>
    <w:p>
      <w:pPr>
        <w:pStyle w:val="35"/>
        <w:numPr>
          <w:ilvl w:val="2"/>
          <w:numId w:val="21"/>
        </w:numPr>
        <w:tabs>
          <w:tab w:val="left" w:pos="1315"/>
        </w:tabs>
        <w:autoSpaceDE w:val="0"/>
        <w:autoSpaceDN w:val="0"/>
        <w:spacing w:before="2" w:line="360" w:lineRule="auto"/>
        <w:ind w:left="1314" w:hanging="661" w:firstLineChars="0"/>
        <w:rPr>
          <w:rFonts w:ascii="宋体" w:hAnsi="宋体"/>
        </w:rPr>
      </w:pPr>
      <w:r>
        <w:rPr>
          <w:rFonts w:ascii="宋体" w:hAnsi="宋体"/>
        </w:rPr>
        <w:t>乙方有义务妥善保管和保护由甲方提供的前款信息和资料等；</w:t>
      </w:r>
    </w:p>
    <w:p>
      <w:pPr>
        <w:pStyle w:val="35"/>
        <w:numPr>
          <w:ilvl w:val="2"/>
          <w:numId w:val="21"/>
        </w:numPr>
        <w:tabs>
          <w:tab w:val="left" w:pos="1327"/>
        </w:tabs>
        <w:autoSpaceDE w:val="0"/>
        <w:autoSpaceDN w:val="0"/>
        <w:spacing w:before="160" w:line="360" w:lineRule="auto"/>
        <w:ind w:right="355" w:firstLine="434" w:firstLineChars="0"/>
        <w:rPr>
          <w:rFonts w:ascii="宋体" w:hAnsi="宋体"/>
        </w:rPr>
      </w:pPr>
      <w:r>
        <w:rPr>
          <w:rFonts w:ascii="宋体" w:hAnsi="宋体"/>
          <w:spacing w:val="-1"/>
        </w:rPr>
        <w:t>除非依照法律规定或者对方当事人的书面同意，任何一方均应保证不</w:t>
      </w:r>
      <w:r>
        <w:rPr>
          <w:rFonts w:ascii="宋体" w:hAnsi="宋体"/>
        </w:rPr>
        <w:t>向任何第三方提供或披露有关合同的或者履行合同过程中知悉的对方当事人任</w:t>
      </w:r>
      <w:r>
        <w:rPr>
          <w:rFonts w:ascii="宋体" w:hAnsi="宋体"/>
          <w:spacing w:val="-7"/>
        </w:rPr>
        <w:t>何未公开的信息和资料，包括但不限于技术情报、技术资料、商业秘密和商业信</w:t>
      </w:r>
      <w:r>
        <w:rPr>
          <w:rFonts w:ascii="宋体" w:hAnsi="宋体"/>
          <w:spacing w:val="-12"/>
        </w:rPr>
        <w:t>息等，并采取一切合理和必要措施和方式防止任何第三方接触到对方当事人的上</w:t>
      </w:r>
      <w:r>
        <w:rPr>
          <w:rFonts w:ascii="宋体" w:hAnsi="宋体"/>
        </w:rPr>
        <w:t>述保密信息和资料。</w:t>
      </w:r>
    </w:p>
    <w:p>
      <w:pPr>
        <w:pStyle w:val="5"/>
        <w:numPr>
          <w:ilvl w:val="1"/>
          <w:numId w:val="21"/>
        </w:numPr>
        <w:tabs>
          <w:tab w:val="left" w:pos="1142"/>
        </w:tabs>
        <w:spacing w:before="4" w:line="360" w:lineRule="auto"/>
        <w:rPr>
          <w:sz w:val="21"/>
          <w:szCs w:val="21"/>
        </w:rPr>
      </w:pPr>
      <w:r>
        <w:rPr>
          <w:sz w:val="21"/>
          <w:szCs w:val="21"/>
        </w:rPr>
        <w:t>质量保证</w:t>
      </w:r>
    </w:p>
    <w:p>
      <w:pPr>
        <w:pStyle w:val="35"/>
        <w:numPr>
          <w:ilvl w:val="2"/>
          <w:numId w:val="21"/>
        </w:numPr>
        <w:tabs>
          <w:tab w:val="left" w:pos="1327"/>
        </w:tabs>
        <w:autoSpaceDE w:val="0"/>
        <w:autoSpaceDN w:val="0"/>
        <w:spacing w:before="160" w:line="360" w:lineRule="auto"/>
        <w:ind w:right="357" w:firstLine="434" w:firstLineChars="0"/>
        <w:rPr>
          <w:rFonts w:ascii="宋体" w:hAnsi="宋体"/>
        </w:rPr>
      </w:pPr>
      <w:r>
        <w:rPr>
          <w:rFonts w:ascii="宋体" w:hAnsi="宋体"/>
          <w:spacing w:val="-1"/>
        </w:rPr>
        <w:t>乙方应建立和完善履行合同的内部质量保证体系，并提供相关内部规</w:t>
      </w:r>
      <w:r>
        <w:rPr>
          <w:rFonts w:ascii="宋体" w:hAnsi="宋体"/>
        </w:rPr>
        <w:t>章制度给甲方，以便甲方进行监督检查；</w:t>
      </w:r>
    </w:p>
    <w:p>
      <w:pPr>
        <w:pStyle w:val="35"/>
        <w:numPr>
          <w:ilvl w:val="2"/>
          <w:numId w:val="21"/>
        </w:numPr>
        <w:tabs>
          <w:tab w:val="left" w:pos="1327"/>
        </w:tabs>
        <w:autoSpaceDE w:val="0"/>
        <w:autoSpaceDN w:val="0"/>
        <w:spacing w:before="1" w:line="360" w:lineRule="auto"/>
        <w:ind w:right="357" w:firstLine="434" w:firstLineChars="0"/>
        <w:rPr>
          <w:rFonts w:ascii="宋体" w:hAnsi="宋体"/>
        </w:rPr>
      </w:pPr>
      <w:r>
        <w:rPr>
          <w:rFonts w:ascii="宋体" w:hAnsi="宋体"/>
          <w:spacing w:val="-1"/>
        </w:rPr>
        <w:t>乙方应保证履行合同的人员数量和素质、软件和硬件设备的配置、场</w:t>
      </w:r>
      <w:r>
        <w:rPr>
          <w:rFonts w:ascii="宋体" w:hAnsi="宋体"/>
        </w:rPr>
        <w:t>地、环境和设施等满足全面履行合同的要求，并应接受甲方的监督检查。</w:t>
      </w:r>
    </w:p>
    <w:p>
      <w:pPr>
        <w:pStyle w:val="5"/>
        <w:numPr>
          <w:ilvl w:val="1"/>
          <w:numId w:val="21"/>
        </w:numPr>
        <w:tabs>
          <w:tab w:val="left" w:pos="1142"/>
        </w:tabs>
        <w:spacing w:before="2" w:line="360" w:lineRule="auto"/>
        <w:rPr>
          <w:sz w:val="21"/>
          <w:szCs w:val="21"/>
        </w:rPr>
      </w:pPr>
      <w:r>
        <w:rPr>
          <w:sz w:val="21"/>
          <w:szCs w:val="21"/>
        </w:rPr>
        <w:t>延迟履行</w:t>
      </w:r>
    </w:p>
    <w:p>
      <w:pPr>
        <w:pStyle w:val="2"/>
        <w:spacing w:before="161" w:line="360" w:lineRule="auto"/>
        <w:ind w:right="239" w:firstLine="434"/>
        <w:rPr>
          <w:sz w:val="21"/>
          <w:szCs w:val="21"/>
        </w:rPr>
      </w:pPr>
      <w:r>
        <w:rPr>
          <w:spacing w:val="-4"/>
          <w:sz w:val="21"/>
          <w:szCs w:val="21"/>
        </w:rPr>
        <w:t>在合同履行过程中，如果乙方遇到不能按时提供服务的情况，应及时以书面</w:t>
      </w:r>
      <w:r>
        <w:rPr>
          <w:spacing w:val="-16"/>
          <w:sz w:val="21"/>
          <w:szCs w:val="21"/>
        </w:rPr>
        <w:t xml:space="preserve">形式将不能按时提供服务的理由、预期延误时间通知甲方；甲方收到乙方通知后， </w:t>
      </w:r>
      <w:r>
        <w:rPr>
          <w:sz w:val="21"/>
          <w:szCs w:val="21"/>
        </w:rPr>
        <w:t>认为其理由正当的，可以书面形式酌情同意乙方可以延长履行的具体时间。</w:t>
      </w:r>
    </w:p>
    <w:p>
      <w:pPr>
        <w:pStyle w:val="5"/>
        <w:numPr>
          <w:ilvl w:val="1"/>
          <w:numId w:val="21"/>
        </w:numPr>
        <w:tabs>
          <w:tab w:val="left" w:pos="1142"/>
        </w:tabs>
        <w:spacing w:before="1" w:line="360" w:lineRule="auto"/>
        <w:rPr>
          <w:sz w:val="21"/>
          <w:szCs w:val="21"/>
        </w:rPr>
      </w:pPr>
      <w:r>
        <w:rPr>
          <w:sz w:val="21"/>
          <w:szCs w:val="21"/>
        </w:rPr>
        <w:t>合同变更</w:t>
      </w:r>
    </w:p>
    <w:p>
      <w:pPr>
        <w:pStyle w:val="35"/>
        <w:numPr>
          <w:ilvl w:val="2"/>
          <w:numId w:val="21"/>
        </w:numPr>
        <w:tabs>
          <w:tab w:val="left" w:pos="1327"/>
        </w:tabs>
        <w:autoSpaceDE w:val="0"/>
        <w:autoSpaceDN w:val="0"/>
        <w:spacing w:before="161" w:line="360" w:lineRule="auto"/>
        <w:ind w:right="357" w:firstLine="434" w:firstLineChars="0"/>
        <w:rPr>
          <w:rFonts w:ascii="宋体" w:hAnsi="宋体"/>
        </w:rPr>
      </w:pPr>
      <w:r>
        <w:rPr>
          <w:rFonts w:ascii="宋体" w:hAnsi="宋体"/>
          <w:spacing w:val="-1"/>
        </w:rPr>
        <w:t>双方当事人协商一致，可以签订书面补充合同的形式变更合同，但不</w:t>
      </w:r>
      <w:r>
        <w:rPr>
          <w:rFonts w:ascii="宋体" w:hAnsi="宋体"/>
        </w:rPr>
        <w:t>得违背采购文件确定的事项；</w:t>
      </w:r>
    </w:p>
    <w:p>
      <w:pPr>
        <w:pStyle w:val="35"/>
        <w:numPr>
          <w:ilvl w:val="2"/>
          <w:numId w:val="21"/>
        </w:numPr>
        <w:tabs>
          <w:tab w:val="left" w:pos="1327"/>
        </w:tabs>
        <w:autoSpaceDE w:val="0"/>
        <w:autoSpaceDN w:val="0"/>
        <w:spacing w:before="1" w:line="360" w:lineRule="auto"/>
        <w:ind w:left="1326" w:hanging="673" w:firstLineChars="0"/>
        <w:rPr>
          <w:rFonts w:ascii="宋体" w:hAnsi="宋体"/>
        </w:rPr>
      </w:pPr>
      <w:r>
        <w:rPr>
          <w:rFonts w:ascii="宋体" w:hAnsi="宋体"/>
        </w:rPr>
        <w:t>合同继续履行将损害国家利益和社会公共利益的，双方当事人应当以</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2"/>
        <w:spacing w:before="132" w:line="360" w:lineRule="auto"/>
        <w:ind w:right="240"/>
        <w:rPr>
          <w:sz w:val="21"/>
          <w:szCs w:val="21"/>
        </w:rPr>
      </w:pPr>
      <w:r>
        <w:rPr>
          <w:sz w:val="21"/>
          <w:szCs w:val="21"/>
        </w:rPr>
        <w:t>书面形式变更合同。有过错的一方应当承担赔偿责任，双方当事人都有过错的， 各自承担相应的责任。</w:t>
      </w:r>
    </w:p>
    <w:p>
      <w:pPr>
        <w:pStyle w:val="5"/>
        <w:numPr>
          <w:ilvl w:val="1"/>
          <w:numId w:val="21"/>
        </w:numPr>
        <w:tabs>
          <w:tab w:val="left" w:pos="1262"/>
        </w:tabs>
        <w:spacing w:before="1" w:line="360" w:lineRule="auto"/>
        <w:ind w:left="1262" w:hanging="605"/>
        <w:rPr>
          <w:sz w:val="21"/>
          <w:szCs w:val="21"/>
        </w:rPr>
      </w:pPr>
      <w:r>
        <w:rPr>
          <w:sz w:val="21"/>
          <w:szCs w:val="21"/>
        </w:rPr>
        <w:t>合同转让和分包</w:t>
      </w:r>
    </w:p>
    <w:p>
      <w:pPr>
        <w:pStyle w:val="2"/>
        <w:spacing w:before="161" w:line="360" w:lineRule="auto"/>
        <w:ind w:right="356" w:firstLine="434"/>
        <w:jc w:val="both"/>
        <w:rPr>
          <w:sz w:val="21"/>
          <w:szCs w:val="21"/>
        </w:rPr>
      </w:pPr>
      <w:r>
        <w:rPr>
          <w:spacing w:val="-5"/>
          <w:sz w:val="21"/>
          <w:szCs w:val="21"/>
        </w:rPr>
        <w:t>合同的权利义务依法不得转让，但经甲方同意，乙方可以依法采取分包方式</w:t>
      </w:r>
      <w:r>
        <w:rPr>
          <w:spacing w:val="-11"/>
          <w:sz w:val="21"/>
          <w:szCs w:val="21"/>
        </w:rPr>
        <w:t>履行合同，即：依法可以将合同项下的部分非主体、非关键性工作分包给他人完</w:t>
      </w:r>
      <w:r>
        <w:rPr>
          <w:spacing w:val="-10"/>
          <w:sz w:val="21"/>
          <w:szCs w:val="21"/>
        </w:rPr>
        <w:t>成，接受分包的人应当具备相应的资格条件，并不得再次分包，且乙方应就分包</w:t>
      </w:r>
      <w:r>
        <w:rPr>
          <w:sz w:val="21"/>
          <w:szCs w:val="21"/>
        </w:rPr>
        <w:t>项目向甲方负责，并与分包供应商就分包项目向甲方承担连带责任。</w:t>
      </w:r>
    </w:p>
    <w:p>
      <w:pPr>
        <w:pStyle w:val="5"/>
        <w:numPr>
          <w:ilvl w:val="1"/>
          <w:numId w:val="21"/>
        </w:numPr>
        <w:tabs>
          <w:tab w:val="left" w:pos="1262"/>
        </w:tabs>
        <w:spacing w:before="3" w:line="360" w:lineRule="auto"/>
        <w:ind w:left="1262" w:hanging="605"/>
        <w:rPr>
          <w:sz w:val="21"/>
          <w:szCs w:val="21"/>
        </w:rPr>
      </w:pPr>
      <w:r>
        <w:rPr>
          <w:sz w:val="21"/>
          <w:szCs w:val="21"/>
        </w:rPr>
        <w:t>不可抗力</w:t>
      </w:r>
    </w:p>
    <w:p>
      <w:pPr>
        <w:pStyle w:val="35"/>
        <w:numPr>
          <w:ilvl w:val="2"/>
          <w:numId w:val="21"/>
        </w:numPr>
        <w:tabs>
          <w:tab w:val="left" w:pos="1435"/>
        </w:tabs>
        <w:autoSpaceDE w:val="0"/>
        <w:autoSpaceDN w:val="0"/>
        <w:spacing w:before="160" w:line="360" w:lineRule="auto"/>
        <w:ind w:right="361" w:firstLine="434" w:firstLineChars="0"/>
        <w:rPr>
          <w:rFonts w:ascii="宋体" w:hAnsi="宋体"/>
        </w:rPr>
      </w:pPr>
      <w:r>
        <w:rPr>
          <w:rFonts w:ascii="宋体" w:hAnsi="宋体"/>
          <w:spacing w:val="-7"/>
        </w:rPr>
        <w:t>如果任何一方遭遇法律规定的不可抗力，致使合同履行受阻时，履行</w:t>
      </w:r>
      <w:r>
        <w:rPr>
          <w:rFonts w:ascii="宋体" w:hAnsi="宋体"/>
        </w:rPr>
        <w:t>合同的期限应予延长，延长的期限应相当于不可抗力所影响的时间；</w:t>
      </w:r>
    </w:p>
    <w:p>
      <w:pPr>
        <w:pStyle w:val="35"/>
        <w:numPr>
          <w:ilvl w:val="2"/>
          <w:numId w:val="21"/>
        </w:numPr>
        <w:tabs>
          <w:tab w:val="left" w:pos="1435"/>
        </w:tabs>
        <w:autoSpaceDE w:val="0"/>
        <w:autoSpaceDN w:val="0"/>
        <w:spacing w:before="1" w:line="360" w:lineRule="auto"/>
        <w:ind w:left="1434" w:hanging="781" w:firstLineChars="0"/>
        <w:rPr>
          <w:rFonts w:ascii="宋体" w:hAnsi="宋体"/>
        </w:rPr>
      </w:pPr>
      <w:r>
        <w:rPr>
          <w:rFonts w:ascii="宋体" w:hAnsi="宋体"/>
        </w:rPr>
        <w:t>因不可抗力致使不能实现合同目的的，当事人可以解除合同；</w:t>
      </w:r>
    </w:p>
    <w:p>
      <w:pPr>
        <w:pStyle w:val="35"/>
        <w:numPr>
          <w:ilvl w:val="2"/>
          <w:numId w:val="21"/>
        </w:numPr>
        <w:tabs>
          <w:tab w:val="left" w:pos="1435"/>
        </w:tabs>
        <w:autoSpaceDE w:val="0"/>
        <w:autoSpaceDN w:val="0"/>
        <w:spacing w:before="151" w:line="360" w:lineRule="auto"/>
        <w:ind w:right="356" w:firstLine="434" w:firstLineChars="0"/>
        <w:rPr>
          <w:rFonts w:ascii="宋体" w:hAnsi="宋体"/>
        </w:rPr>
      </w:pPr>
      <w:r>
        <w:rPr>
          <w:rFonts w:ascii="宋体" w:hAnsi="宋体"/>
        </w:rPr>
        <w:t>因不可抗力致使合同有变更必要的，双方当事人应在</w:t>
      </w:r>
      <w:r>
        <w:rPr>
          <w:rFonts w:ascii="宋体" w:hAnsi="宋体"/>
          <w:b/>
          <w:u w:val="single"/>
        </w:rPr>
        <w:t>合同专用条款</w:t>
      </w:r>
      <w:r>
        <w:rPr>
          <w:rFonts w:hint="eastAsia" w:ascii="宋体" w:hAnsi="宋体"/>
          <w:b/>
          <w:u w:val="single"/>
        </w:rPr>
        <w:t xml:space="preserve"> </w:t>
      </w:r>
      <w:r>
        <w:rPr>
          <w:rFonts w:ascii="宋体" w:hAnsi="宋体"/>
        </w:rPr>
        <w:t>约定时间内以书面形式变更合同；</w:t>
      </w:r>
    </w:p>
    <w:p>
      <w:pPr>
        <w:pStyle w:val="35"/>
        <w:numPr>
          <w:ilvl w:val="2"/>
          <w:numId w:val="21"/>
        </w:numPr>
        <w:tabs>
          <w:tab w:val="left" w:pos="1435"/>
        </w:tabs>
        <w:autoSpaceDE w:val="0"/>
        <w:autoSpaceDN w:val="0"/>
        <w:spacing w:line="360" w:lineRule="auto"/>
        <w:ind w:right="356" w:firstLine="434" w:firstLineChars="0"/>
        <w:rPr>
          <w:rFonts w:ascii="宋体" w:hAnsi="宋体"/>
        </w:rPr>
      </w:pPr>
      <w:r>
        <w:rPr>
          <w:rFonts w:ascii="宋体" w:hAnsi="宋体"/>
        </w:rPr>
        <w:t>受不可抗力影响的一方在不可抗力发生后，应在</w:t>
      </w:r>
      <w:r>
        <w:rPr>
          <w:rFonts w:ascii="宋体" w:hAnsi="宋体"/>
          <w:b/>
          <w:u w:val="single"/>
        </w:rPr>
        <w:t>合同专用条款</w:t>
      </w:r>
      <w:r>
        <w:rPr>
          <w:rFonts w:hint="eastAsia" w:ascii="宋体" w:hAnsi="宋体"/>
          <w:b/>
          <w:w w:val="95"/>
          <w:u w:val="single"/>
        </w:rPr>
        <w:t xml:space="preserve"> </w:t>
      </w:r>
      <w:r>
        <w:rPr>
          <w:rFonts w:ascii="宋体" w:hAnsi="宋体"/>
        </w:rPr>
        <w:t>约定时间内以书面形式通知对方当事人，并在</w:t>
      </w:r>
      <w:r>
        <w:rPr>
          <w:rFonts w:ascii="宋体" w:hAnsi="宋体"/>
          <w:b/>
          <w:u w:val="single"/>
        </w:rPr>
        <w:t>合同专用条款</w:t>
      </w:r>
      <w:r>
        <w:rPr>
          <w:rFonts w:hint="eastAsia" w:ascii="宋体" w:hAnsi="宋体"/>
          <w:b/>
          <w:w w:val="95"/>
          <w:u w:val="single"/>
        </w:rPr>
        <w:t xml:space="preserve"> </w:t>
      </w:r>
      <w:r>
        <w:rPr>
          <w:rFonts w:ascii="宋体" w:hAnsi="宋体"/>
        </w:rPr>
        <w:t>约定时间内，将有关部门出具的证明文件送达对方当事人。</w:t>
      </w:r>
    </w:p>
    <w:p>
      <w:pPr>
        <w:pStyle w:val="5"/>
        <w:numPr>
          <w:ilvl w:val="1"/>
          <w:numId w:val="21"/>
        </w:numPr>
        <w:tabs>
          <w:tab w:val="left" w:pos="1262"/>
        </w:tabs>
        <w:spacing w:before="11" w:line="360" w:lineRule="auto"/>
        <w:ind w:left="1262" w:hanging="605"/>
        <w:rPr>
          <w:sz w:val="21"/>
          <w:szCs w:val="21"/>
        </w:rPr>
      </w:pPr>
      <w:r>
        <w:rPr>
          <w:sz w:val="21"/>
          <w:szCs w:val="21"/>
        </w:rPr>
        <w:t>税费</w:t>
      </w:r>
    </w:p>
    <w:p>
      <w:pPr>
        <w:pStyle w:val="2"/>
        <w:spacing w:before="161" w:line="360" w:lineRule="auto"/>
        <w:ind w:left="654"/>
        <w:rPr>
          <w:sz w:val="21"/>
          <w:szCs w:val="21"/>
        </w:rPr>
      </w:pPr>
      <w:r>
        <w:rPr>
          <w:sz w:val="21"/>
          <w:szCs w:val="21"/>
        </w:rPr>
        <w:t>与合同有关的一切税费，均按照中华人民共和国法律的相关规定缴纳。</w:t>
      </w:r>
    </w:p>
    <w:p>
      <w:pPr>
        <w:pStyle w:val="5"/>
        <w:numPr>
          <w:ilvl w:val="1"/>
          <w:numId w:val="21"/>
        </w:numPr>
        <w:tabs>
          <w:tab w:val="left" w:pos="1262"/>
        </w:tabs>
        <w:spacing w:before="160" w:line="360" w:lineRule="auto"/>
        <w:ind w:left="1262" w:hanging="605"/>
        <w:rPr>
          <w:sz w:val="21"/>
          <w:szCs w:val="21"/>
        </w:rPr>
      </w:pPr>
      <w:r>
        <w:rPr>
          <w:sz w:val="21"/>
          <w:szCs w:val="21"/>
        </w:rPr>
        <w:t>乙方破产</w:t>
      </w:r>
    </w:p>
    <w:p>
      <w:pPr>
        <w:pStyle w:val="2"/>
        <w:spacing w:before="161" w:line="360" w:lineRule="auto"/>
        <w:ind w:right="358" w:firstLine="434"/>
        <w:jc w:val="both"/>
        <w:rPr>
          <w:sz w:val="21"/>
          <w:szCs w:val="21"/>
        </w:rPr>
      </w:pPr>
      <w:r>
        <w:rPr>
          <w:spacing w:val="-4"/>
          <w:sz w:val="21"/>
          <w:szCs w:val="21"/>
        </w:rPr>
        <w:t>如果乙方破产导致合同无法履行时，甲方可以书面形式通知乙方终止合同且</w:t>
      </w:r>
      <w:r>
        <w:rPr>
          <w:spacing w:val="-9"/>
          <w:sz w:val="21"/>
          <w:szCs w:val="21"/>
        </w:rPr>
        <w:t>不给予乙方任何补偿和赔偿，但合同的终止不损害或不影响甲方已经采取或将要</w:t>
      </w:r>
      <w:r>
        <w:rPr>
          <w:sz w:val="21"/>
          <w:szCs w:val="21"/>
        </w:rPr>
        <w:t>采取的任何要求乙方支付违约金、赔偿损失等的行动或补救措施的权利。</w:t>
      </w:r>
    </w:p>
    <w:p>
      <w:pPr>
        <w:pStyle w:val="5"/>
        <w:numPr>
          <w:ilvl w:val="1"/>
          <w:numId w:val="21"/>
        </w:numPr>
        <w:tabs>
          <w:tab w:val="left" w:pos="1262"/>
        </w:tabs>
        <w:spacing w:before="2" w:line="360" w:lineRule="auto"/>
        <w:ind w:left="1262" w:hanging="605"/>
        <w:rPr>
          <w:sz w:val="21"/>
          <w:szCs w:val="21"/>
        </w:rPr>
      </w:pPr>
      <w:r>
        <w:rPr>
          <w:sz w:val="21"/>
          <w:szCs w:val="21"/>
        </w:rPr>
        <w:t>合同中止、终止</w:t>
      </w:r>
    </w:p>
    <w:p>
      <w:pPr>
        <w:pStyle w:val="35"/>
        <w:numPr>
          <w:ilvl w:val="2"/>
          <w:numId w:val="21"/>
        </w:numPr>
        <w:tabs>
          <w:tab w:val="left" w:pos="1435"/>
        </w:tabs>
        <w:autoSpaceDE w:val="0"/>
        <w:autoSpaceDN w:val="0"/>
        <w:spacing w:before="161" w:line="360" w:lineRule="auto"/>
        <w:ind w:left="1434" w:hanging="781" w:firstLineChars="0"/>
        <w:rPr>
          <w:rFonts w:ascii="宋体" w:hAnsi="宋体"/>
        </w:rPr>
      </w:pPr>
      <w:r>
        <w:rPr>
          <w:rFonts w:ascii="宋体" w:hAnsi="宋体"/>
        </w:rPr>
        <w:t>双方当事人不得擅自中止或者终止合同；</w:t>
      </w:r>
    </w:p>
    <w:p>
      <w:pPr>
        <w:pStyle w:val="35"/>
        <w:numPr>
          <w:ilvl w:val="2"/>
          <w:numId w:val="21"/>
        </w:numPr>
        <w:tabs>
          <w:tab w:val="left" w:pos="1435"/>
        </w:tabs>
        <w:autoSpaceDE w:val="0"/>
        <w:autoSpaceDN w:val="0"/>
        <w:spacing w:before="160" w:line="360" w:lineRule="auto"/>
        <w:ind w:right="357" w:firstLine="434" w:firstLineChars="0"/>
        <w:rPr>
          <w:rFonts w:ascii="宋体" w:hAnsi="宋体"/>
        </w:rPr>
      </w:pPr>
      <w:r>
        <w:rPr>
          <w:rFonts w:ascii="宋体" w:hAnsi="宋体"/>
          <w:spacing w:val="-6"/>
        </w:rPr>
        <w:t>合同继续履行将损害国家利益和社会公共利益的，双方当事人应当中</w:t>
      </w:r>
      <w:r>
        <w:rPr>
          <w:rFonts w:ascii="宋体" w:hAnsi="宋体"/>
          <w:spacing w:val="-8"/>
        </w:rPr>
        <w:t>止或者终止合同。有过错的一方应当承担赔偿责任，双方当事人都有过错的，各</w:t>
      </w:r>
      <w:r>
        <w:rPr>
          <w:rFonts w:ascii="宋体" w:hAnsi="宋体"/>
        </w:rPr>
        <w:t>自承担相应的责任。</w:t>
      </w:r>
    </w:p>
    <w:p>
      <w:pPr>
        <w:pStyle w:val="5"/>
        <w:numPr>
          <w:ilvl w:val="1"/>
          <w:numId w:val="21"/>
        </w:numPr>
        <w:tabs>
          <w:tab w:val="left" w:pos="1262"/>
        </w:tabs>
        <w:spacing w:before="2" w:line="360" w:lineRule="auto"/>
        <w:ind w:left="1262" w:hanging="605"/>
        <w:rPr>
          <w:sz w:val="21"/>
          <w:szCs w:val="21"/>
        </w:rPr>
      </w:pPr>
      <w:r>
        <w:rPr>
          <w:sz w:val="21"/>
          <w:szCs w:val="21"/>
        </w:rPr>
        <w:t>检验和验收</w:t>
      </w:r>
    </w:p>
    <w:p>
      <w:pPr>
        <w:pStyle w:val="35"/>
        <w:numPr>
          <w:ilvl w:val="2"/>
          <w:numId w:val="21"/>
        </w:numPr>
        <w:tabs>
          <w:tab w:val="left" w:pos="1435"/>
        </w:tabs>
        <w:autoSpaceDE w:val="0"/>
        <w:autoSpaceDN w:val="0"/>
        <w:spacing w:before="151" w:line="360" w:lineRule="auto"/>
        <w:ind w:left="1434" w:hanging="781" w:firstLineChars="0"/>
        <w:rPr>
          <w:rFonts w:ascii="宋体" w:hAnsi="宋体"/>
        </w:rPr>
      </w:pPr>
      <w:r>
        <w:rPr>
          <w:rFonts w:ascii="宋体" w:hAnsi="宋体"/>
        </w:rPr>
        <w:t>乙方按照</w:t>
      </w:r>
      <w:r>
        <w:rPr>
          <w:rFonts w:ascii="宋体" w:hAnsi="宋体"/>
          <w:b/>
          <w:u w:val="single"/>
        </w:rPr>
        <w:t>合同专用条款</w:t>
      </w:r>
      <w:r>
        <w:rPr>
          <w:rFonts w:ascii="宋体" w:hAnsi="宋体"/>
          <w:spacing w:val="-13"/>
        </w:rPr>
        <w:t>的约定，定期提交服务报告，甲方按照</w:t>
      </w:r>
      <w:r>
        <w:rPr>
          <w:rFonts w:ascii="宋体" w:hAnsi="宋体"/>
          <w:b/>
          <w:u w:val="single"/>
        </w:rPr>
        <w:t>合同专用条款</w:t>
      </w:r>
      <w:r>
        <w:rPr>
          <w:rFonts w:ascii="宋体" w:hAnsi="宋体"/>
        </w:rPr>
        <w:t>的约定进行定期验收；</w:t>
      </w:r>
    </w:p>
    <w:p>
      <w:pPr>
        <w:pStyle w:val="35"/>
        <w:numPr>
          <w:ilvl w:val="2"/>
          <w:numId w:val="21"/>
        </w:numPr>
        <w:tabs>
          <w:tab w:val="left" w:pos="1435"/>
        </w:tabs>
        <w:autoSpaceDE w:val="0"/>
        <w:autoSpaceDN w:val="0"/>
        <w:spacing w:before="158" w:line="360" w:lineRule="auto"/>
        <w:ind w:right="357" w:firstLine="434" w:firstLineChars="0"/>
        <w:rPr>
          <w:rFonts w:ascii="宋体" w:hAnsi="宋体"/>
        </w:rPr>
      </w:pPr>
      <w:r>
        <w:rPr>
          <w:rFonts w:ascii="宋体" w:hAnsi="宋体"/>
          <w:spacing w:val="-8"/>
        </w:rPr>
        <w:t>合同期满或者履行完毕后，甲方有权组织</w:t>
      </w:r>
      <w:r>
        <w:rPr>
          <w:rFonts w:ascii="宋体" w:hAnsi="宋体"/>
        </w:rPr>
        <w:t>（</w:t>
      </w:r>
      <w:r>
        <w:rPr>
          <w:rFonts w:ascii="宋体" w:hAnsi="宋体"/>
          <w:spacing w:val="-2"/>
        </w:rPr>
        <w:t>包括依法邀请国家认可的</w:t>
      </w:r>
      <w:r>
        <w:rPr>
          <w:rFonts w:ascii="宋体" w:hAnsi="宋体"/>
        </w:rPr>
        <w:t>质量检测机构参加</w:t>
      </w:r>
      <w:r>
        <w:rPr>
          <w:rFonts w:ascii="宋体" w:hAnsi="宋体"/>
          <w:spacing w:val="-24"/>
        </w:rPr>
        <w:t>）</w:t>
      </w:r>
      <w:r>
        <w:rPr>
          <w:rFonts w:ascii="宋体" w:hAnsi="宋体"/>
          <w:spacing w:val="-7"/>
        </w:rPr>
        <w:t>对乙方履约的验收，即：按照合同约定的标准，组织对乙方</w:t>
      </w:r>
      <w:r>
        <w:rPr>
          <w:rFonts w:ascii="宋体" w:hAnsi="宋体"/>
          <w:spacing w:val="-8"/>
        </w:rPr>
        <w:t>履约情况的验收，并出具验收书；向社会公众提供的公共服务项目，验收时应当</w:t>
      </w:r>
      <w:r>
        <w:rPr>
          <w:rFonts w:ascii="宋体" w:hAnsi="宋体"/>
        </w:rPr>
        <w:t>邀请服务对象参与并出具意见，验收结果应当向社会公告；</w:t>
      </w:r>
    </w:p>
    <w:p>
      <w:pPr>
        <w:pStyle w:val="35"/>
        <w:numPr>
          <w:ilvl w:val="2"/>
          <w:numId w:val="21"/>
        </w:numPr>
        <w:tabs>
          <w:tab w:val="left" w:pos="1435"/>
        </w:tabs>
        <w:autoSpaceDE w:val="0"/>
        <w:autoSpaceDN w:val="0"/>
        <w:spacing w:before="158" w:line="360" w:lineRule="auto"/>
        <w:ind w:right="357" w:firstLine="434" w:firstLineChars="0"/>
        <w:rPr>
          <w:rFonts w:ascii="宋体" w:hAnsi="宋体"/>
        </w:rPr>
      </w:pPr>
      <w:r>
        <w:rPr>
          <w:rFonts w:ascii="宋体" w:hAnsi="宋体"/>
        </w:rPr>
        <w:t>检验和验收标准、程序等具体内容以及前述验收书的效力详见</w:t>
      </w:r>
      <w:r>
        <w:rPr>
          <w:rFonts w:ascii="宋体" w:hAnsi="宋体"/>
          <w:b/>
          <w:u w:val="single"/>
        </w:rPr>
        <w:t>合同专用条款</w:t>
      </w:r>
      <w:r>
        <w:rPr>
          <w:rFonts w:ascii="宋体" w:hAnsi="宋体"/>
        </w:rPr>
        <w:t>。</w:t>
      </w:r>
    </w:p>
    <w:p>
      <w:pPr>
        <w:pStyle w:val="5"/>
        <w:numPr>
          <w:ilvl w:val="1"/>
          <w:numId w:val="21"/>
        </w:numPr>
        <w:tabs>
          <w:tab w:val="left" w:pos="1262"/>
        </w:tabs>
        <w:spacing w:before="3" w:line="360" w:lineRule="auto"/>
        <w:ind w:left="1262" w:hanging="605"/>
        <w:rPr>
          <w:sz w:val="21"/>
          <w:szCs w:val="21"/>
        </w:rPr>
      </w:pPr>
      <w:r>
        <w:rPr>
          <w:sz w:val="21"/>
          <w:szCs w:val="21"/>
        </w:rPr>
        <w:t>合同使用的文字和适用的法律</w:t>
      </w:r>
    </w:p>
    <w:p>
      <w:pPr>
        <w:pStyle w:val="35"/>
        <w:numPr>
          <w:ilvl w:val="2"/>
          <w:numId w:val="21"/>
        </w:numPr>
        <w:tabs>
          <w:tab w:val="left" w:pos="1435"/>
        </w:tabs>
        <w:autoSpaceDE w:val="0"/>
        <w:autoSpaceDN w:val="0"/>
        <w:spacing w:before="161" w:line="360" w:lineRule="auto"/>
        <w:ind w:left="1434" w:hanging="781" w:firstLineChars="0"/>
        <w:rPr>
          <w:rFonts w:ascii="宋体" w:hAnsi="宋体"/>
        </w:rPr>
      </w:pPr>
      <w:r>
        <w:rPr>
          <w:rFonts w:ascii="宋体" w:hAnsi="宋体"/>
        </w:rPr>
        <w:t>合同使用汉语书就、变更和解释；</w:t>
      </w:r>
    </w:p>
    <w:p>
      <w:pPr>
        <w:pStyle w:val="35"/>
        <w:numPr>
          <w:ilvl w:val="2"/>
          <w:numId w:val="21"/>
        </w:numPr>
        <w:tabs>
          <w:tab w:val="left" w:pos="1435"/>
        </w:tabs>
        <w:autoSpaceDE w:val="0"/>
        <w:autoSpaceDN w:val="0"/>
        <w:spacing w:before="160" w:line="360" w:lineRule="auto"/>
        <w:ind w:left="1434" w:hanging="781" w:firstLineChars="0"/>
        <w:rPr>
          <w:rFonts w:ascii="宋体" w:hAnsi="宋体"/>
        </w:rPr>
      </w:pPr>
      <w:r>
        <w:rPr>
          <w:rFonts w:ascii="宋体" w:hAnsi="宋体"/>
        </w:rPr>
        <w:t>合同适用中华人民共和国法律。</w:t>
      </w:r>
    </w:p>
    <w:p>
      <w:pPr>
        <w:pStyle w:val="5"/>
        <w:numPr>
          <w:ilvl w:val="1"/>
          <w:numId w:val="21"/>
        </w:numPr>
        <w:tabs>
          <w:tab w:val="left" w:pos="1262"/>
        </w:tabs>
        <w:spacing w:before="161" w:line="360" w:lineRule="auto"/>
        <w:ind w:left="1262" w:hanging="605"/>
        <w:rPr>
          <w:sz w:val="21"/>
          <w:szCs w:val="21"/>
        </w:rPr>
      </w:pPr>
      <w:r>
        <w:rPr>
          <w:sz w:val="21"/>
          <w:szCs w:val="21"/>
        </w:rPr>
        <w:t>履约保证金</w:t>
      </w:r>
    </w:p>
    <w:p>
      <w:pPr>
        <w:pStyle w:val="35"/>
        <w:numPr>
          <w:ilvl w:val="2"/>
          <w:numId w:val="21"/>
        </w:numPr>
        <w:tabs>
          <w:tab w:val="left" w:pos="1435"/>
        </w:tabs>
        <w:autoSpaceDE w:val="0"/>
        <w:autoSpaceDN w:val="0"/>
        <w:spacing w:before="150" w:line="360" w:lineRule="auto"/>
        <w:ind w:right="244" w:firstLine="434" w:firstLineChars="0"/>
        <w:rPr>
          <w:rFonts w:ascii="宋体" w:hAnsi="宋体"/>
        </w:rPr>
      </w:pPr>
      <w:r>
        <w:rPr>
          <w:rFonts w:ascii="宋体" w:hAnsi="宋体"/>
          <w:spacing w:val="-7"/>
        </w:rPr>
        <w:t>采购文件要求乙方提交履约保证金的，乙方应按</w:t>
      </w:r>
      <w:r>
        <w:rPr>
          <w:rFonts w:ascii="宋体" w:hAnsi="宋体"/>
          <w:b/>
          <w:u w:val="single"/>
        </w:rPr>
        <w:t>合同专用条款</w:t>
      </w:r>
      <w:r>
        <w:rPr>
          <w:rFonts w:ascii="宋体" w:hAnsi="宋体"/>
        </w:rPr>
        <w:t>约定的</w:t>
      </w:r>
      <w:r>
        <w:rPr>
          <w:rFonts w:ascii="宋体" w:hAnsi="宋体"/>
          <w:spacing w:val="-1"/>
        </w:rPr>
        <w:t xml:space="preserve">方式，以支票、汇票、本票或者金融机构、担保机构出具的保函等非现金形式， </w:t>
      </w:r>
      <w:r>
        <w:rPr>
          <w:rFonts w:ascii="宋体" w:hAnsi="宋体"/>
          <w:spacing w:val="-7"/>
        </w:rPr>
        <w:t xml:space="preserve">提交不超过合同价 </w:t>
      </w:r>
      <w:r>
        <w:rPr>
          <w:rFonts w:ascii="宋体" w:hAnsi="宋体"/>
        </w:rPr>
        <w:t>10%的履约保证金；</w:t>
      </w:r>
    </w:p>
    <w:p>
      <w:pPr>
        <w:pStyle w:val="35"/>
        <w:numPr>
          <w:ilvl w:val="2"/>
          <w:numId w:val="21"/>
        </w:numPr>
        <w:tabs>
          <w:tab w:val="left" w:pos="1435"/>
          <w:tab w:val="left" w:pos="2980"/>
        </w:tabs>
        <w:autoSpaceDE w:val="0"/>
        <w:autoSpaceDN w:val="0"/>
        <w:spacing w:line="360" w:lineRule="auto"/>
        <w:ind w:right="473" w:firstLine="434" w:firstLineChars="0"/>
        <w:rPr>
          <w:rFonts w:ascii="宋体" w:hAnsi="宋体"/>
        </w:rPr>
      </w:pPr>
      <w:r>
        <w:rPr>
          <w:rFonts w:ascii="宋体" w:hAnsi="宋体"/>
        </w:rPr>
        <w:t>履约保证金在</w:t>
      </w:r>
      <w:r>
        <w:rPr>
          <w:rFonts w:ascii="宋体" w:hAnsi="宋体"/>
          <w:b/>
          <w:u w:val="single"/>
        </w:rPr>
        <w:t>合同专用条款</w:t>
      </w:r>
      <w:r>
        <w:rPr>
          <w:rFonts w:hint="eastAsia" w:ascii="宋体" w:hAnsi="宋体"/>
          <w:b/>
          <w:u w:val="single"/>
        </w:rPr>
        <w:t xml:space="preserve"> </w:t>
      </w:r>
      <w:r>
        <w:rPr>
          <w:rFonts w:ascii="宋体" w:hAnsi="宋体"/>
        </w:rPr>
        <w:t>约定期间内不予退还或者应完全有效，前 述约定期间届满之日起</w:t>
      </w:r>
      <w:r>
        <w:rPr>
          <w:rFonts w:ascii="宋体" w:hAnsi="宋体"/>
          <w:u w:val="single"/>
        </w:rPr>
        <w:t xml:space="preserve"> </w:t>
      </w:r>
      <w:r>
        <w:rPr>
          <w:rFonts w:ascii="宋体" w:hAnsi="宋体"/>
          <w:u w:val="single"/>
        </w:rPr>
        <w:tab/>
      </w:r>
      <w:r>
        <w:rPr>
          <w:rFonts w:ascii="宋体" w:hAnsi="宋体"/>
        </w:rPr>
        <w:t>个工作日内，甲方应将履约保证金退还乙方；</w:t>
      </w:r>
    </w:p>
    <w:p>
      <w:pPr>
        <w:pStyle w:val="35"/>
        <w:numPr>
          <w:ilvl w:val="2"/>
          <w:numId w:val="21"/>
        </w:numPr>
        <w:tabs>
          <w:tab w:val="left" w:pos="1435"/>
        </w:tabs>
        <w:autoSpaceDE w:val="0"/>
        <w:autoSpaceDN w:val="0"/>
        <w:spacing w:before="3" w:line="360" w:lineRule="auto"/>
        <w:ind w:right="358" w:firstLine="434" w:firstLineChars="0"/>
        <w:rPr>
          <w:rFonts w:ascii="宋体" w:hAnsi="宋体"/>
        </w:rPr>
      </w:pPr>
      <w:r>
        <w:rPr>
          <w:rFonts w:ascii="宋体" w:hAnsi="宋体"/>
          <w:spacing w:val="-10"/>
        </w:rPr>
        <w:t>如果乙方不履行合同，履约保证金不予退还；如果乙方未能按合同约</w:t>
      </w:r>
      <w:r>
        <w:rPr>
          <w:rFonts w:ascii="宋体" w:hAnsi="宋体"/>
          <w:spacing w:val="-9"/>
        </w:rPr>
        <w:t>定全面履行义务，那么甲方有权从履约保证金中取得补偿或赔偿，同时不影响甲</w:t>
      </w:r>
      <w:r>
        <w:rPr>
          <w:rFonts w:ascii="宋体" w:hAnsi="宋体"/>
        </w:rPr>
        <w:t>方要求乙方承担合同约定的超过履约保证金的违约责任的权利。</w:t>
      </w:r>
    </w:p>
    <w:p>
      <w:pPr>
        <w:pStyle w:val="5"/>
        <w:numPr>
          <w:ilvl w:val="1"/>
          <w:numId w:val="21"/>
        </w:numPr>
        <w:tabs>
          <w:tab w:val="left" w:pos="1262"/>
        </w:tabs>
        <w:spacing w:before="2" w:line="360" w:lineRule="auto"/>
        <w:ind w:left="1262" w:hanging="605"/>
        <w:rPr>
          <w:sz w:val="21"/>
          <w:szCs w:val="21"/>
        </w:rPr>
      </w:pPr>
      <w:r>
        <w:rPr>
          <w:sz w:val="21"/>
          <w:szCs w:val="21"/>
        </w:rPr>
        <w:t>合同份数</w:t>
      </w:r>
    </w:p>
    <w:p>
      <w:pPr>
        <w:spacing w:before="150" w:line="360" w:lineRule="auto"/>
        <w:ind w:left="654"/>
        <w:rPr>
          <w:rFonts w:ascii="宋体" w:hAnsi="宋体"/>
        </w:rPr>
      </w:pPr>
      <w:r>
        <w:rPr>
          <w:rFonts w:ascii="宋体" w:hAnsi="宋体"/>
        </w:rPr>
        <w:t>合同份数按</w:t>
      </w:r>
      <w:r>
        <w:rPr>
          <w:rFonts w:ascii="宋体" w:hAnsi="宋体"/>
          <w:b/>
          <w:u w:val="single"/>
        </w:rPr>
        <w:t>合同专用条款</w:t>
      </w:r>
      <w:r>
        <w:rPr>
          <w:rFonts w:ascii="宋体" w:hAnsi="宋体"/>
        </w:rPr>
        <w:t>规定，每份均具有同等法律效力。</w:t>
      </w: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5"/>
        <w:spacing w:line="360" w:lineRule="auto"/>
        <w:ind w:left="3108"/>
        <w:rPr>
          <w:sz w:val="21"/>
          <w:szCs w:val="21"/>
        </w:rPr>
      </w:pPr>
      <w:r>
        <w:rPr>
          <w:sz w:val="21"/>
          <w:szCs w:val="21"/>
        </w:rPr>
        <w:t>第三部分 合同专用条款</w:t>
      </w:r>
    </w:p>
    <w:p>
      <w:pPr>
        <w:pStyle w:val="2"/>
        <w:spacing w:before="160" w:line="360" w:lineRule="auto"/>
        <w:ind w:right="238" w:firstLine="434"/>
        <w:rPr>
          <w:spacing w:val="-7"/>
          <w:sz w:val="21"/>
          <w:szCs w:val="21"/>
        </w:rPr>
      </w:pPr>
      <w:r>
        <w:rPr>
          <w:sz w:val="21"/>
          <w:szCs w:val="21"/>
        </w:rPr>
        <w:t xml:space="preserve">本部分是对前两部分的补充和修改，如果前两部分和本部分的约定不一致， </w:t>
      </w:r>
      <w:r>
        <w:rPr>
          <w:spacing w:val="-7"/>
          <w:sz w:val="21"/>
          <w:szCs w:val="21"/>
        </w:rPr>
        <w:t>应以本部分的约定为准。本部分的条款号应与前两部分的条款号保持对应；与前两部分无对应关系的内容可另行编制</w:t>
      </w:r>
    </w:p>
    <w:p>
      <w:pPr>
        <w:pStyle w:val="2"/>
        <w:spacing w:before="160" w:line="360" w:lineRule="auto"/>
        <w:ind w:right="238" w:firstLine="434"/>
        <w:rPr>
          <w:spacing w:val="-7"/>
          <w:sz w:val="21"/>
          <w:szCs w:val="21"/>
        </w:rPr>
      </w:pPr>
    </w:p>
    <w:tbl>
      <w:tblPr>
        <w:tblStyle w:val="18"/>
        <w:tblW w:w="836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4"/>
        <w:gridCol w:w="75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94" w:type="dxa"/>
            <w:tcBorders>
              <w:left w:val="single" w:color="000000" w:sz="4" w:space="0"/>
            </w:tcBorders>
          </w:tcPr>
          <w:p>
            <w:pPr>
              <w:pStyle w:val="46"/>
              <w:spacing w:before="40"/>
              <w:ind w:left="35"/>
              <w:rPr>
                <w:b/>
                <w:sz w:val="24"/>
                <w:lang w:eastAsia="en-US"/>
              </w:rPr>
            </w:pPr>
            <w:r>
              <w:rPr>
                <w:b/>
                <w:sz w:val="24"/>
                <w:lang w:eastAsia="en-US"/>
              </w:rPr>
              <w:t>条款号</w:t>
            </w:r>
          </w:p>
        </w:tc>
        <w:tc>
          <w:tcPr>
            <w:tcW w:w="7571" w:type="dxa"/>
          </w:tcPr>
          <w:p>
            <w:pPr>
              <w:pStyle w:val="46"/>
              <w:spacing w:before="40"/>
              <w:ind w:left="3280" w:right="3271"/>
              <w:jc w:val="center"/>
              <w:rPr>
                <w:b/>
                <w:sz w:val="24"/>
                <w:lang w:eastAsia="en-US"/>
              </w:rPr>
            </w:pPr>
            <w:r>
              <w:rPr>
                <w:b/>
                <w:sz w:val="24"/>
                <w:lang w:eastAsia="en-US"/>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tcPr>
          <w:p>
            <w:pPr>
              <w:pStyle w:val="46"/>
              <w:rPr>
                <w:rFonts w:ascii="Times New Roman"/>
                <w:lang w:eastAsia="en-US"/>
              </w:rPr>
            </w:pPr>
          </w:p>
        </w:tc>
        <w:tc>
          <w:tcPr>
            <w:tcW w:w="7571" w:type="dxa"/>
          </w:tcPr>
          <w:p>
            <w:pPr>
              <w:pStyle w:val="46"/>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tcPr>
          <w:p>
            <w:pPr>
              <w:pStyle w:val="46"/>
              <w:rPr>
                <w:rFonts w:ascii="Times New Roman"/>
              </w:rPr>
            </w:pPr>
          </w:p>
          <w:p>
            <w:pPr>
              <w:pStyle w:val="46"/>
              <w:rPr>
                <w:rFonts w:ascii="Times New Roman"/>
              </w:rPr>
            </w:pPr>
          </w:p>
          <w:p>
            <w:pPr>
              <w:pStyle w:val="46"/>
              <w:rPr>
                <w:rFonts w:ascii="Times New Roman"/>
              </w:rPr>
            </w:pPr>
          </w:p>
        </w:tc>
        <w:tc>
          <w:tcPr>
            <w:tcW w:w="7571" w:type="dxa"/>
          </w:tcPr>
          <w:p>
            <w:pPr>
              <w:pStyle w:val="46"/>
              <w:rPr>
                <w:rFonts w:ascii="Times New Roman"/>
                <w:lang w:eastAsia="en-US"/>
              </w:rPr>
            </w:pPr>
          </w:p>
        </w:tc>
      </w:tr>
    </w:tbl>
    <w:p>
      <w:pPr>
        <w:pStyle w:val="3"/>
        <w:tabs>
          <w:tab w:val="left" w:pos="1125"/>
        </w:tabs>
        <w:ind w:right="136"/>
        <w:jc w:val="center"/>
        <w:rPr>
          <w:rFonts w:ascii="宋体" w:hAnsi="宋体"/>
          <w:sz w:val="32"/>
          <w:szCs w:val="32"/>
        </w:rPr>
      </w:pPr>
    </w:p>
    <w:p>
      <w:pPr>
        <w:spacing w:line="360" w:lineRule="auto"/>
        <w:rPr>
          <w:rFonts w:ascii="宋体" w:hAnsi="宋体"/>
        </w:rPr>
        <w:sectPr>
          <w:pgSz w:w="11910" w:h="16840"/>
          <w:pgMar w:top="1380" w:right="1440" w:bottom="1500" w:left="1580" w:header="877" w:footer="1304" w:gutter="0"/>
          <w:pgNumType w:fmt="decimal"/>
          <w:cols w:space="720" w:num="1"/>
        </w:sectPr>
      </w:pPr>
    </w:p>
    <w:p>
      <w:pPr>
        <w:pStyle w:val="3"/>
        <w:tabs>
          <w:tab w:val="left" w:pos="1125"/>
        </w:tabs>
        <w:spacing w:before="158"/>
        <w:ind w:right="136"/>
        <w:jc w:val="center"/>
        <w:rPr>
          <w:rFonts w:ascii="宋体" w:hAnsi="宋体"/>
          <w:sz w:val="32"/>
          <w:szCs w:val="32"/>
        </w:rPr>
      </w:pPr>
      <w:bookmarkStart w:id="59" w:name="_Toc27188"/>
      <w:r>
        <w:rPr>
          <w:rFonts w:ascii="宋体" w:hAnsi="宋体"/>
          <w:sz w:val="32"/>
          <w:szCs w:val="32"/>
        </w:rPr>
        <w:t>第六章</w:t>
      </w:r>
      <w:r>
        <w:rPr>
          <w:rFonts w:ascii="宋体" w:hAnsi="宋体"/>
          <w:sz w:val="32"/>
          <w:szCs w:val="32"/>
        </w:rPr>
        <w:tab/>
      </w:r>
      <w:r>
        <w:rPr>
          <w:rFonts w:hint="eastAsia" w:ascii="宋体" w:hAnsi="宋体"/>
          <w:sz w:val="32"/>
          <w:szCs w:val="32"/>
        </w:rPr>
        <w:t xml:space="preserve"> </w:t>
      </w:r>
      <w:r>
        <w:rPr>
          <w:rFonts w:ascii="宋体" w:hAnsi="宋体"/>
          <w:sz w:val="32"/>
          <w:szCs w:val="32"/>
        </w:rPr>
        <w:t>响应文件格式</w:t>
      </w:r>
      <w:bookmarkEnd w:id="59"/>
    </w:p>
    <w:p>
      <w:pPr>
        <w:jc w:val="center"/>
        <w:rPr>
          <w:rFonts w:ascii="宋体" w:hAnsi="宋体" w:cs="Arial"/>
          <w:sz w:val="28"/>
          <w:szCs w:val="28"/>
        </w:rPr>
      </w:pPr>
      <w:bookmarkStart w:id="60" w:name="_Toc13756_WPSOffice_Level1"/>
      <w:bookmarkStart w:id="61" w:name="_Toc32338_WPSOffice_Level1"/>
      <w:r>
        <w:rPr>
          <w:rFonts w:hint="eastAsia" w:ascii="宋体" w:hAnsi="宋体"/>
          <w:sz w:val="28"/>
          <w:szCs w:val="28"/>
          <w:u w:val="single"/>
        </w:rPr>
        <w:t>（项目名称）</w:t>
      </w:r>
      <w:bookmarkEnd w:id="60"/>
      <w:bookmarkEnd w:id="61"/>
    </w:p>
    <w:p>
      <w:pPr>
        <w:jc w:val="center"/>
        <w:rPr>
          <w:rFonts w:ascii="宋体" w:hAnsi="宋体" w:cs="Arial"/>
          <w:b/>
          <w:sz w:val="28"/>
          <w:szCs w:val="28"/>
        </w:rPr>
      </w:pPr>
      <w:bookmarkStart w:id="62" w:name="_Hlk450146333"/>
    </w:p>
    <w:p>
      <w:pPr>
        <w:jc w:val="center"/>
        <w:rPr>
          <w:rFonts w:ascii="宋体" w:hAnsi="宋体" w:cs="Arial"/>
          <w:sz w:val="28"/>
          <w:szCs w:val="28"/>
        </w:rPr>
      </w:pPr>
      <w:bookmarkStart w:id="63" w:name="_Toc18887_WPSOffice_Level1"/>
      <w:bookmarkStart w:id="64" w:name="_Toc361_WPSOffice_Level1"/>
      <w:r>
        <w:rPr>
          <w:rFonts w:hint="eastAsia" w:ascii="宋体" w:hAnsi="宋体" w:cs="Arial"/>
          <w:sz w:val="28"/>
          <w:szCs w:val="28"/>
        </w:rPr>
        <w:t xml:space="preserve">响 应 </w:t>
      </w:r>
      <w:bookmarkEnd w:id="62"/>
      <w:r>
        <w:rPr>
          <w:rFonts w:hint="eastAsia" w:ascii="宋体" w:hAnsi="宋体" w:cs="Arial"/>
          <w:sz w:val="28"/>
          <w:szCs w:val="28"/>
        </w:rPr>
        <w:t>文 件</w:t>
      </w:r>
      <w:bookmarkEnd w:id="63"/>
      <w:bookmarkEnd w:id="64"/>
    </w:p>
    <w:p>
      <w:pPr>
        <w:rPr>
          <w:rFonts w:ascii="宋体" w:hAnsi="宋体" w:cs="Arial"/>
          <w:sz w:val="28"/>
          <w:szCs w:val="28"/>
        </w:rPr>
      </w:pPr>
      <w:r>
        <w:rPr>
          <w:rFonts w:hint="eastAsia" w:ascii="宋体" w:hAnsi="宋体" w:cs="Arial"/>
          <w:sz w:val="28"/>
          <w:szCs w:val="28"/>
        </w:rPr>
        <w:t xml:space="preserve">               </w:t>
      </w:r>
    </w:p>
    <w:p>
      <w:pPr>
        <w:ind w:firstLine="1120" w:firstLineChars="400"/>
        <w:rPr>
          <w:rFonts w:ascii="宋体" w:hAnsi="宋体" w:cs="Arial"/>
          <w:sz w:val="28"/>
          <w:szCs w:val="28"/>
        </w:rPr>
      </w:pPr>
      <w:r>
        <w:rPr>
          <w:rFonts w:hint="eastAsia" w:ascii="宋体" w:hAnsi="宋体" w:cs="Arial"/>
          <w:sz w:val="28"/>
          <w:szCs w:val="28"/>
        </w:rPr>
        <w:t>项目编号：</w:t>
      </w:r>
      <w:r>
        <w:rPr>
          <w:rFonts w:hint="eastAsia" w:ascii="宋体" w:hAnsi="宋体" w:cs="Arial"/>
          <w:sz w:val="28"/>
          <w:szCs w:val="28"/>
          <w:u w:val="single"/>
        </w:rPr>
        <w:t xml:space="preserve">                         </w:t>
      </w:r>
    </w:p>
    <w:p>
      <w:pPr>
        <w:jc w:val="center"/>
        <w:rPr>
          <w:rFonts w:ascii="宋体" w:hAnsi="宋体" w:cs="Arial"/>
          <w:sz w:val="28"/>
          <w:szCs w:val="28"/>
        </w:rPr>
      </w:pPr>
    </w:p>
    <w:p>
      <w:pPr>
        <w:jc w:val="center"/>
        <w:rPr>
          <w:rFonts w:ascii="宋体" w:hAnsi="宋体" w:cs="Arial"/>
          <w:sz w:val="28"/>
          <w:szCs w:val="28"/>
        </w:rPr>
      </w:pPr>
    </w:p>
    <w:p>
      <w:pPr>
        <w:ind w:firstLine="1120" w:firstLineChars="400"/>
        <w:rPr>
          <w:rFonts w:ascii="宋体" w:hAnsi="宋体"/>
          <w:sz w:val="28"/>
          <w:szCs w:val="28"/>
          <w:u w:val="single"/>
        </w:rPr>
      </w:pPr>
      <w:bookmarkStart w:id="65" w:name="_Toc13389_WPSOffice_Level1"/>
      <w:bookmarkStart w:id="66" w:name="_Toc4204_WPSOffice_Level1"/>
      <w:r>
        <w:rPr>
          <w:rFonts w:hint="eastAsia" w:ascii="宋体" w:hAnsi="宋体" w:cs="Arial"/>
          <w:sz w:val="28"/>
          <w:szCs w:val="28"/>
        </w:rPr>
        <w:t>采购人：</w:t>
      </w:r>
      <w:bookmarkEnd w:id="65"/>
      <w:bookmarkEnd w:id="66"/>
      <w:r>
        <w:rPr>
          <w:rFonts w:hint="eastAsia" w:ascii="宋体" w:hAnsi="宋体"/>
          <w:sz w:val="28"/>
          <w:szCs w:val="28"/>
          <w:u w:val="single"/>
        </w:rPr>
        <w:t xml:space="preserve">                               </w:t>
      </w:r>
    </w:p>
    <w:p>
      <w:pPr>
        <w:ind w:firstLine="1540" w:firstLineChars="550"/>
        <w:rPr>
          <w:rFonts w:ascii="宋体" w:hAnsi="宋体" w:cs="Arial"/>
          <w:sz w:val="28"/>
          <w:szCs w:val="28"/>
        </w:rPr>
      </w:pPr>
    </w:p>
    <w:p>
      <w:pPr>
        <w:spacing w:line="460" w:lineRule="exact"/>
        <w:ind w:firstLine="1120" w:firstLineChars="400"/>
        <w:rPr>
          <w:rFonts w:ascii="宋体" w:hAnsi="宋体"/>
          <w:sz w:val="28"/>
          <w:szCs w:val="28"/>
        </w:rPr>
      </w:pPr>
      <w:bookmarkStart w:id="67" w:name="_Toc23736_WPSOffice_Level1"/>
      <w:bookmarkStart w:id="68" w:name="_Toc22977_WPSOffice_Level1"/>
      <w:r>
        <w:rPr>
          <w:rFonts w:hint="eastAsia" w:ascii="宋体" w:hAnsi="宋体"/>
          <w:sz w:val="28"/>
          <w:szCs w:val="28"/>
        </w:rPr>
        <w:t>供应商公章：</w:t>
      </w:r>
      <w:r>
        <w:rPr>
          <w:rFonts w:hint="eastAsia" w:ascii="宋体" w:hAnsi="宋体"/>
          <w:sz w:val="28"/>
          <w:szCs w:val="28"/>
          <w:u w:val="single"/>
        </w:rPr>
        <w:t xml:space="preserve">                             </w:t>
      </w:r>
      <w:bookmarkEnd w:id="67"/>
      <w:bookmarkEnd w:id="68"/>
    </w:p>
    <w:p>
      <w:pPr>
        <w:spacing w:line="460" w:lineRule="exact"/>
        <w:ind w:firstLine="854" w:firstLineChars="305"/>
        <w:rPr>
          <w:rFonts w:ascii="宋体" w:hAnsi="宋体"/>
          <w:sz w:val="28"/>
          <w:szCs w:val="28"/>
          <w:u w:val="single"/>
        </w:rPr>
      </w:pPr>
    </w:p>
    <w:p>
      <w:pPr>
        <w:spacing w:line="460" w:lineRule="exact"/>
        <w:ind w:firstLine="854" w:firstLineChars="305"/>
        <w:rPr>
          <w:rFonts w:ascii="宋体" w:hAnsi="宋体"/>
          <w:sz w:val="28"/>
          <w:szCs w:val="28"/>
          <w:u w:val="single"/>
        </w:rPr>
      </w:pPr>
      <w:r>
        <w:rPr>
          <w:rFonts w:hint="eastAsia" w:ascii="宋体" w:hAnsi="宋体"/>
          <w:sz w:val="28"/>
          <w:szCs w:val="28"/>
        </w:rPr>
        <w:t xml:space="preserve">  </w:t>
      </w:r>
      <w:bookmarkStart w:id="69" w:name="_Toc22449_WPSOffice_Level1"/>
      <w:bookmarkStart w:id="70" w:name="_Toc7448_WPSOffice_Level1"/>
      <w:r>
        <w:rPr>
          <w:rFonts w:hint="eastAsia" w:ascii="宋体" w:hAnsi="宋体"/>
          <w:sz w:val="28"/>
          <w:szCs w:val="28"/>
        </w:rPr>
        <w:t>法定代表人或其委托代理人：</w:t>
      </w:r>
      <w:r>
        <w:rPr>
          <w:rFonts w:hint="eastAsia" w:ascii="宋体" w:hAnsi="宋体"/>
          <w:sz w:val="28"/>
          <w:szCs w:val="28"/>
          <w:u w:val="single"/>
        </w:rPr>
        <w:t xml:space="preserve">              </w:t>
      </w:r>
      <w:r>
        <w:rPr>
          <w:rFonts w:hint="eastAsia" w:ascii="宋体" w:hAnsi="宋体"/>
          <w:sz w:val="28"/>
          <w:szCs w:val="28"/>
        </w:rPr>
        <w:t>（签字或盖章）</w:t>
      </w:r>
      <w:bookmarkEnd w:id="69"/>
      <w:bookmarkEnd w:id="70"/>
    </w:p>
    <w:p>
      <w:pPr>
        <w:spacing w:line="460" w:lineRule="exact"/>
        <w:rPr>
          <w:rFonts w:ascii="宋体" w:hAnsi="宋体"/>
          <w:sz w:val="28"/>
          <w:szCs w:val="28"/>
        </w:rPr>
      </w:pPr>
    </w:p>
    <w:p>
      <w:pPr>
        <w:spacing w:line="460" w:lineRule="exact"/>
        <w:ind w:firstLine="435"/>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bookmarkStart w:id="71" w:name="_Toc11712_WPSOffice_Level2"/>
      <w:bookmarkStart w:id="72" w:name="_Toc17804_WPSOffice_Level2"/>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bookmarkEnd w:id="71"/>
      <w:bookmarkEnd w:id="72"/>
    </w:p>
    <w:p>
      <w:pPr>
        <w:tabs>
          <w:tab w:val="left" w:pos="645"/>
          <w:tab w:val="left" w:pos="1286"/>
          <w:tab w:val="left" w:pos="1929"/>
        </w:tabs>
        <w:spacing w:before="54"/>
        <w:ind w:right="135"/>
        <w:jc w:val="center"/>
        <w:rPr>
          <w:rFonts w:ascii="宋体" w:hAnsi="宋体"/>
          <w:b/>
          <w:sz w:val="28"/>
          <w:szCs w:val="28"/>
        </w:rPr>
      </w:pPr>
    </w:p>
    <w:p>
      <w:pPr>
        <w:jc w:val="center"/>
        <w:rPr>
          <w:rFonts w:ascii="宋体" w:hAnsi="宋体"/>
          <w:sz w:val="28"/>
          <w:szCs w:val="28"/>
        </w:rPr>
        <w:sectPr>
          <w:pgSz w:w="11910" w:h="16840"/>
          <w:pgMar w:top="1400" w:right="1440" w:bottom="1220" w:left="1580" w:header="877" w:footer="1033" w:gutter="0"/>
          <w:pgNumType w:fmt="decimal"/>
          <w:cols w:space="720" w:num="1"/>
        </w:sectPr>
      </w:pPr>
    </w:p>
    <w:p>
      <w:pPr>
        <w:jc w:val="center"/>
        <w:outlineLvl w:val="2"/>
        <w:rPr>
          <w:b/>
          <w:sz w:val="28"/>
          <w:szCs w:val="28"/>
        </w:rPr>
      </w:pPr>
      <w:r>
        <w:rPr>
          <w:b/>
          <w:sz w:val="28"/>
          <w:szCs w:val="28"/>
        </w:rPr>
        <w:t>一、报价表格式</w:t>
      </w:r>
    </w:p>
    <w:p>
      <w:pPr>
        <w:autoSpaceDE w:val="0"/>
        <w:autoSpaceDN w:val="0"/>
        <w:spacing w:before="240" w:beforeLines="100" w:line="360" w:lineRule="auto"/>
        <w:ind w:left="82" w:leftChars="39" w:firstLine="211" w:firstLineChars="100"/>
        <w:jc w:val="left"/>
        <w:outlineLvl w:val="3"/>
        <w:rPr>
          <w:rFonts w:ascii="宋体" w:hAnsi="宋体" w:cs="宋体"/>
          <w:b/>
          <w:kern w:val="0"/>
          <w:lang w:val="zh-CN" w:bidi="zh-CN"/>
        </w:rPr>
      </w:pPr>
      <w:r>
        <w:rPr>
          <w:rFonts w:hint="eastAsia" w:ascii="宋体" w:hAnsi="宋体" w:cs="宋体"/>
          <w:b/>
          <w:kern w:val="0"/>
          <w:lang w:val="zh-CN" w:bidi="zh-CN"/>
        </w:rPr>
        <w:t xml:space="preserve">1-1 </w:t>
      </w:r>
      <w:r>
        <w:rPr>
          <w:rFonts w:ascii="宋体" w:hAnsi="宋体" w:cs="宋体"/>
          <w:b/>
          <w:kern w:val="0"/>
          <w:lang w:val="zh-CN" w:bidi="zh-CN"/>
        </w:rPr>
        <w:t>报价表</w:t>
      </w:r>
    </w:p>
    <w:p>
      <w:pPr>
        <w:autoSpaceDE w:val="0"/>
        <w:autoSpaceDN w:val="0"/>
        <w:spacing w:line="360" w:lineRule="auto"/>
        <w:ind w:left="29" w:leftChars="14" w:firstLine="211" w:firstLineChars="100"/>
        <w:jc w:val="left"/>
        <w:rPr>
          <w:rFonts w:ascii="宋体" w:hAnsi="宋体" w:cs="宋体"/>
          <w:b/>
          <w:kern w:val="0"/>
          <w:lang w:val="zh-CN" w:bidi="zh-CN"/>
        </w:rPr>
      </w:pPr>
      <w:r>
        <w:rPr>
          <w:rFonts w:ascii="宋体" w:hAnsi="宋体" w:cs="宋体"/>
          <w:b/>
          <w:kern w:val="0"/>
          <w:lang w:val="zh-CN" w:bidi="zh-CN"/>
        </w:rPr>
        <w:t>项目名称：</w:t>
      </w:r>
      <w:r>
        <w:rPr>
          <w:rFonts w:ascii="宋体" w:hAnsi="宋体" w:cs="宋体"/>
          <w:b/>
          <w:kern w:val="0"/>
          <w:u w:val="single"/>
          <w:lang w:val="zh-CN" w:bidi="zh-CN"/>
        </w:rPr>
        <w:t xml:space="preserve">  </w:t>
      </w:r>
      <w:r>
        <w:rPr>
          <w:rFonts w:hint="eastAsia" w:ascii="宋体" w:hAnsi="宋体" w:cs="宋体"/>
          <w:b/>
          <w:kern w:val="0"/>
          <w:u w:val="single"/>
          <w:lang w:val="zh-CN" w:bidi="zh-CN"/>
        </w:rPr>
        <w:t xml:space="preserve"> </w:t>
      </w:r>
      <w:r>
        <w:rPr>
          <w:rFonts w:ascii="宋体" w:hAnsi="宋体" w:cs="宋体"/>
          <w:b/>
          <w:kern w:val="0"/>
          <w:u w:val="single"/>
          <w:lang w:val="zh-CN" w:bidi="zh-CN"/>
        </w:rPr>
        <w:tab/>
      </w:r>
      <w:r>
        <w:rPr>
          <w:rFonts w:ascii="宋体" w:hAnsi="宋体" w:cs="宋体"/>
          <w:b/>
          <w:kern w:val="0"/>
          <w:u w:val="single"/>
          <w:lang w:val="zh-CN" w:bidi="zh-CN"/>
        </w:rPr>
        <w:t xml:space="preserve"> </w:t>
      </w:r>
      <w:r>
        <w:rPr>
          <w:rFonts w:hint="eastAsia" w:ascii="宋体" w:hAnsi="宋体" w:cs="宋体"/>
          <w:b/>
          <w:kern w:val="0"/>
          <w:u w:val="single"/>
          <w:lang w:val="zh-CN" w:bidi="zh-CN"/>
        </w:rPr>
        <w:t xml:space="preserve">                </w:t>
      </w:r>
    </w:p>
    <w:p>
      <w:pPr>
        <w:autoSpaceDE w:val="0"/>
        <w:autoSpaceDN w:val="0"/>
        <w:spacing w:line="360" w:lineRule="auto"/>
        <w:ind w:left="29" w:leftChars="14" w:firstLine="211" w:firstLineChars="100"/>
        <w:jc w:val="left"/>
        <w:rPr>
          <w:b/>
          <w:sz w:val="21"/>
          <w:szCs w:val="21"/>
        </w:rPr>
      </w:pPr>
      <w:r>
        <w:rPr>
          <w:rFonts w:ascii="宋体" w:hAnsi="宋体" w:cs="宋体"/>
          <w:b/>
          <w:kern w:val="0"/>
          <w:lang w:val="zh-CN" w:bidi="zh-CN"/>
        </w:rPr>
        <w:t>项目编号：</w:t>
      </w:r>
      <w:r>
        <w:rPr>
          <w:rFonts w:ascii="宋体" w:hAnsi="宋体" w:cs="宋体"/>
          <w:b/>
          <w:kern w:val="0"/>
          <w:u w:val="single"/>
          <w:lang w:val="zh-CN" w:bidi="zh-CN"/>
        </w:rPr>
        <w:t xml:space="preserve">  </w:t>
      </w:r>
      <w:r>
        <w:rPr>
          <w:rFonts w:hint="eastAsia" w:ascii="宋体" w:hAnsi="宋体" w:cs="宋体"/>
          <w:b/>
          <w:kern w:val="0"/>
          <w:u w:val="single"/>
          <w:lang w:val="zh-CN" w:bidi="zh-CN"/>
        </w:rPr>
        <w:t xml:space="preserve"> </w:t>
      </w:r>
      <w:r>
        <w:rPr>
          <w:rFonts w:ascii="宋体" w:hAnsi="宋体" w:cs="宋体"/>
          <w:b/>
          <w:kern w:val="0"/>
          <w:u w:val="single"/>
          <w:lang w:val="zh-CN" w:bidi="zh-CN"/>
        </w:rPr>
        <w:tab/>
      </w:r>
      <w:r>
        <w:rPr>
          <w:rFonts w:hint="eastAsia" w:ascii="宋体" w:hAnsi="宋体" w:cs="宋体"/>
          <w:b/>
          <w:kern w:val="0"/>
          <w:u w:val="single"/>
          <w:lang w:val="zh-CN" w:bidi="zh-CN"/>
        </w:rPr>
        <w:t xml:space="preserve">                 </w:t>
      </w:r>
    </w:p>
    <w:tbl>
      <w:tblPr>
        <w:tblStyle w:val="18"/>
        <w:tblW w:w="8525"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461" w:type="dxa"/>
            <w:shd w:val="clear" w:color="auto" w:fill="auto"/>
          </w:tcPr>
          <w:p>
            <w:pPr>
              <w:pStyle w:val="46"/>
              <w:spacing w:before="177" w:line="360" w:lineRule="auto"/>
              <w:ind w:left="243" w:right="238"/>
              <w:jc w:val="center"/>
              <w:rPr>
                <w:b/>
                <w:sz w:val="21"/>
                <w:szCs w:val="21"/>
                <w:lang w:eastAsia="en-US"/>
              </w:rPr>
            </w:pPr>
            <w:r>
              <w:rPr>
                <w:b/>
                <w:sz w:val="21"/>
                <w:szCs w:val="21"/>
                <w:lang w:eastAsia="en-US"/>
              </w:rPr>
              <w:t>供应商名称</w:t>
            </w:r>
          </w:p>
        </w:tc>
        <w:tc>
          <w:tcPr>
            <w:tcW w:w="6064" w:type="dxa"/>
            <w:shd w:val="clear" w:color="auto" w:fill="auto"/>
          </w:tcPr>
          <w:p>
            <w:pPr>
              <w:pStyle w:val="46"/>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shd w:val="clear" w:color="auto" w:fill="auto"/>
          </w:tcPr>
          <w:p>
            <w:pPr>
              <w:pStyle w:val="46"/>
              <w:spacing w:before="11" w:line="360" w:lineRule="auto"/>
              <w:rPr>
                <w:b/>
                <w:sz w:val="21"/>
                <w:szCs w:val="21"/>
                <w:lang w:eastAsia="en-US"/>
              </w:rPr>
            </w:pPr>
          </w:p>
          <w:p>
            <w:pPr>
              <w:pStyle w:val="46"/>
              <w:spacing w:line="360" w:lineRule="auto"/>
              <w:ind w:left="243" w:right="238"/>
              <w:jc w:val="center"/>
              <w:rPr>
                <w:b/>
                <w:sz w:val="21"/>
                <w:szCs w:val="21"/>
                <w:lang w:eastAsia="en-US"/>
              </w:rPr>
            </w:pPr>
            <w:r>
              <w:rPr>
                <w:b/>
                <w:sz w:val="21"/>
                <w:szCs w:val="21"/>
                <w:lang w:eastAsia="en-US"/>
              </w:rPr>
              <w:t>磋商范围</w:t>
            </w:r>
          </w:p>
        </w:tc>
        <w:tc>
          <w:tcPr>
            <w:tcW w:w="6064" w:type="dxa"/>
            <w:shd w:val="clear" w:color="auto" w:fill="auto"/>
          </w:tcPr>
          <w:p>
            <w:pPr>
              <w:pStyle w:val="46"/>
              <w:spacing w:before="11" w:line="360" w:lineRule="auto"/>
              <w:rPr>
                <w:b/>
                <w:sz w:val="21"/>
                <w:szCs w:val="21"/>
                <w:lang w:eastAsia="en-US"/>
              </w:rPr>
            </w:pPr>
          </w:p>
          <w:p>
            <w:pPr>
              <w:pStyle w:val="46"/>
              <w:tabs>
                <w:tab w:val="left" w:pos="1547"/>
              </w:tabs>
              <w:spacing w:line="360" w:lineRule="auto"/>
              <w:ind w:left="107"/>
              <w:rPr>
                <w:sz w:val="21"/>
                <w:szCs w:val="21"/>
                <w:lang w:eastAsia="en-US"/>
              </w:rPr>
            </w:pPr>
            <w:r>
              <w:rPr>
                <w:sz w:val="21"/>
                <w:szCs w:val="21"/>
                <w:lang w:eastAsia="en-US"/>
              </w:rPr>
              <w:t>全部 / 第</w:t>
            </w:r>
            <w:r>
              <w:rPr>
                <w:sz w:val="21"/>
                <w:szCs w:val="21"/>
                <w:u w:val="single"/>
                <w:lang w:eastAsia="en-US"/>
              </w:rPr>
              <w:t xml:space="preserve"> </w:t>
            </w:r>
            <w:r>
              <w:rPr>
                <w:sz w:val="21"/>
                <w:szCs w:val="21"/>
                <w:u w:val="single"/>
                <w:lang w:eastAsia="en-US"/>
              </w:rPr>
              <w:tab/>
            </w:r>
            <w:r>
              <w:rPr>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shd w:val="clear" w:color="auto" w:fill="auto"/>
          </w:tcPr>
          <w:p>
            <w:pPr>
              <w:pStyle w:val="46"/>
              <w:spacing w:before="7" w:line="360" w:lineRule="auto"/>
              <w:rPr>
                <w:b/>
                <w:sz w:val="21"/>
                <w:szCs w:val="21"/>
              </w:rPr>
            </w:pPr>
          </w:p>
          <w:p>
            <w:pPr>
              <w:pStyle w:val="46"/>
              <w:spacing w:line="360" w:lineRule="auto"/>
              <w:ind w:left="245" w:right="235"/>
              <w:jc w:val="center"/>
              <w:rPr>
                <w:b/>
                <w:sz w:val="21"/>
                <w:szCs w:val="21"/>
              </w:rPr>
            </w:pPr>
            <w:r>
              <w:rPr>
                <w:b/>
                <w:sz w:val="21"/>
                <w:szCs w:val="21"/>
              </w:rPr>
              <w:t>报价</w:t>
            </w:r>
          </w:p>
          <w:p>
            <w:pPr>
              <w:pStyle w:val="46"/>
              <w:spacing w:before="161" w:line="360" w:lineRule="auto"/>
              <w:ind w:left="245" w:right="238"/>
              <w:jc w:val="center"/>
              <w:rPr>
                <w:b/>
                <w:sz w:val="21"/>
                <w:szCs w:val="21"/>
              </w:rPr>
            </w:pPr>
            <w:r>
              <w:rPr>
                <w:b/>
                <w:sz w:val="21"/>
                <w:szCs w:val="21"/>
              </w:rPr>
              <w:t>（详见备注说明）</w:t>
            </w:r>
          </w:p>
        </w:tc>
        <w:tc>
          <w:tcPr>
            <w:tcW w:w="6064" w:type="dxa"/>
            <w:shd w:val="clear" w:color="auto" w:fill="auto"/>
          </w:tcPr>
          <w:p>
            <w:pPr>
              <w:pStyle w:val="46"/>
              <w:spacing w:line="360" w:lineRule="auto"/>
              <w:rPr>
                <w:b/>
                <w:sz w:val="21"/>
                <w:szCs w:val="21"/>
              </w:rPr>
            </w:pPr>
          </w:p>
          <w:p>
            <w:pPr>
              <w:pStyle w:val="46"/>
              <w:spacing w:before="9" w:line="360" w:lineRule="auto"/>
              <w:rPr>
                <w:b/>
                <w:sz w:val="21"/>
                <w:szCs w:val="21"/>
              </w:rPr>
            </w:pPr>
          </w:p>
          <w:p>
            <w:pPr>
              <w:pStyle w:val="46"/>
              <w:tabs>
                <w:tab w:val="left" w:pos="4482"/>
              </w:tabs>
              <w:spacing w:line="360" w:lineRule="auto"/>
              <w:ind w:left="107"/>
              <w:rPr>
                <w:sz w:val="21"/>
                <w:szCs w:val="21"/>
                <w:lang w:val="en-US"/>
              </w:rPr>
            </w:pPr>
            <w:r>
              <w:rPr>
                <w:rFonts w:hint="eastAsia"/>
              </w:rPr>
              <w:t>人民币（大写）</w:t>
            </w:r>
            <w:r>
              <w:rPr>
                <w:u w:val="single"/>
              </w:rPr>
              <w:t xml:space="preserve">          </w:t>
            </w:r>
            <w:r>
              <w:rPr>
                <w:rFonts w:hint="eastAsia"/>
              </w:rPr>
              <w:t>（小写</w:t>
            </w:r>
            <w:r>
              <w:rPr>
                <w:u w:val="single"/>
              </w:rPr>
              <w:t xml:space="preserve">            </w:t>
            </w:r>
            <w:r>
              <w:rPr>
                <w:rFonts w:hint="eastAsia"/>
              </w:rPr>
              <w:t>）元/平方米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rPr>
        <w:tc>
          <w:tcPr>
            <w:tcW w:w="2461" w:type="dxa"/>
            <w:shd w:val="clear" w:color="auto" w:fill="auto"/>
          </w:tcPr>
          <w:p>
            <w:pPr>
              <w:pStyle w:val="46"/>
              <w:spacing w:before="215" w:line="360" w:lineRule="auto"/>
              <w:ind w:left="243" w:right="238"/>
              <w:jc w:val="center"/>
              <w:rPr>
                <w:b/>
                <w:sz w:val="21"/>
                <w:szCs w:val="21"/>
                <w:lang w:val="en-US"/>
              </w:rPr>
            </w:pPr>
            <w:r>
              <w:rPr>
                <w:rFonts w:hint="eastAsia"/>
                <w:b/>
                <w:sz w:val="21"/>
                <w:szCs w:val="21"/>
                <w:lang w:val="en-US"/>
              </w:rPr>
              <w:t>项目负责人</w:t>
            </w:r>
          </w:p>
        </w:tc>
        <w:tc>
          <w:tcPr>
            <w:tcW w:w="6064" w:type="dxa"/>
            <w:shd w:val="clear" w:color="auto" w:fill="auto"/>
          </w:tcPr>
          <w:p>
            <w:pPr>
              <w:pStyle w:val="46"/>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7" w:hRule="atLeast"/>
        </w:trPr>
        <w:tc>
          <w:tcPr>
            <w:tcW w:w="2461" w:type="dxa"/>
            <w:shd w:val="clear" w:color="auto" w:fill="auto"/>
          </w:tcPr>
          <w:p>
            <w:pPr>
              <w:pStyle w:val="46"/>
              <w:spacing w:line="360" w:lineRule="auto"/>
              <w:rPr>
                <w:b/>
                <w:sz w:val="21"/>
                <w:szCs w:val="21"/>
              </w:rPr>
            </w:pPr>
          </w:p>
          <w:p>
            <w:pPr>
              <w:pStyle w:val="46"/>
              <w:spacing w:line="360" w:lineRule="auto"/>
              <w:rPr>
                <w:b/>
                <w:sz w:val="21"/>
                <w:szCs w:val="21"/>
              </w:rPr>
            </w:pPr>
          </w:p>
          <w:p>
            <w:pPr>
              <w:pStyle w:val="46"/>
              <w:spacing w:line="360" w:lineRule="auto"/>
              <w:rPr>
                <w:b/>
                <w:sz w:val="21"/>
                <w:szCs w:val="21"/>
              </w:rPr>
            </w:pPr>
          </w:p>
          <w:p>
            <w:pPr>
              <w:pStyle w:val="46"/>
              <w:spacing w:before="215" w:line="360" w:lineRule="auto"/>
              <w:ind w:left="243" w:right="238"/>
              <w:jc w:val="center"/>
              <w:rPr>
                <w:b/>
                <w:sz w:val="21"/>
                <w:szCs w:val="21"/>
                <w:lang w:eastAsia="en-US"/>
              </w:rPr>
            </w:pPr>
            <w:r>
              <w:rPr>
                <w:b/>
                <w:sz w:val="21"/>
                <w:szCs w:val="21"/>
                <w:lang w:eastAsia="en-US"/>
              </w:rPr>
              <w:t>备注说明</w:t>
            </w:r>
          </w:p>
        </w:tc>
        <w:tc>
          <w:tcPr>
            <w:tcW w:w="6064" w:type="dxa"/>
            <w:shd w:val="clear" w:color="auto" w:fill="auto"/>
          </w:tcPr>
          <w:p>
            <w:pPr>
              <w:pStyle w:val="46"/>
              <w:spacing w:line="360" w:lineRule="auto"/>
              <w:rPr>
                <w:sz w:val="21"/>
                <w:szCs w:val="21"/>
                <w:lang w:eastAsia="en-US"/>
              </w:rPr>
            </w:pPr>
          </w:p>
        </w:tc>
      </w:tr>
    </w:tbl>
    <w:p>
      <w:pPr>
        <w:pStyle w:val="2"/>
        <w:tabs>
          <w:tab w:val="left" w:pos="7181"/>
        </w:tabs>
        <w:spacing w:line="360" w:lineRule="auto"/>
        <w:ind w:right="1223" w:firstLine="3990" w:firstLineChars="1900"/>
        <w:rPr>
          <w:spacing w:val="-18"/>
          <w:sz w:val="21"/>
          <w:szCs w:val="21"/>
        </w:rPr>
      </w:pPr>
      <w:r>
        <w:rPr>
          <w:sz w:val="21"/>
          <w:szCs w:val="21"/>
        </w:rPr>
        <w:t>供应商公章</w:t>
      </w:r>
      <w:r>
        <w:rPr>
          <w:spacing w:val="-18"/>
          <w:sz w:val="21"/>
          <w:szCs w:val="21"/>
        </w:rPr>
        <w:t xml:space="preserve">： </w:t>
      </w:r>
      <w:r>
        <w:rPr>
          <w:rFonts w:hint="eastAsia"/>
          <w:sz w:val="21"/>
          <w:szCs w:val="21"/>
          <w:u w:val="single"/>
        </w:rPr>
        <w:t xml:space="preserve">            </w:t>
      </w:r>
    </w:p>
    <w:p>
      <w:pPr>
        <w:pStyle w:val="2"/>
        <w:tabs>
          <w:tab w:val="left" w:pos="5841"/>
          <w:tab w:val="left" w:pos="8923"/>
        </w:tabs>
        <w:spacing w:before="79" w:line="360" w:lineRule="auto"/>
        <w:ind w:right="501"/>
        <w:jc w:val="right"/>
        <w:rPr>
          <w:sz w:val="21"/>
          <w:szCs w:val="21"/>
        </w:rPr>
      </w:pPr>
      <w:r>
        <w:rPr>
          <w:rFonts w:hint="eastAsia"/>
          <w:sz w:val="21"/>
          <w:szCs w:val="21"/>
        </w:rPr>
        <w:t>法定代表人或其委托代理人：</w:t>
      </w:r>
      <w:r>
        <w:rPr>
          <w:rFonts w:hint="eastAsia"/>
          <w:sz w:val="21"/>
          <w:szCs w:val="21"/>
          <w:u w:val="single"/>
        </w:rPr>
        <w:t xml:space="preserve">  （签字或盖章）</w:t>
      </w:r>
    </w:p>
    <w:p>
      <w:pPr>
        <w:pStyle w:val="2"/>
        <w:tabs>
          <w:tab w:val="left" w:pos="6705"/>
        </w:tabs>
        <w:spacing w:line="360" w:lineRule="auto"/>
        <w:ind w:right="1223" w:firstLine="4620" w:firstLineChars="2200"/>
        <w:rPr>
          <w:sz w:val="21"/>
          <w:szCs w:val="21"/>
          <w:u w:val="single"/>
        </w:rPr>
      </w:pPr>
      <w:r>
        <w:rPr>
          <w:sz w:val="21"/>
          <w:szCs w:val="21"/>
        </w:rPr>
        <w:t>日</w:t>
      </w:r>
      <w:r>
        <w:rPr>
          <w:rFonts w:hint="eastAsia"/>
          <w:sz w:val="21"/>
          <w:szCs w:val="21"/>
        </w:rPr>
        <w:t xml:space="preserve">    </w:t>
      </w:r>
      <w:r>
        <w:rPr>
          <w:sz w:val="21"/>
          <w:szCs w:val="21"/>
        </w:rPr>
        <w:t>期</w:t>
      </w:r>
      <w:r>
        <w:rPr>
          <w:spacing w:val="-18"/>
          <w:sz w:val="21"/>
          <w:szCs w:val="21"/>
        </w:rPr>
        <w:t>：</w:t>
      </w:r>
      <w:r>
        <w:rPr>
          <w:rFonts w:hint="eastAsia"/>
          <w:sz w:val="21"/>
          <w:szCs w:val="21"/>
          <w:u w:val="single"/>
        </w:rPr>
        <w:t xml:space="preserve">        </w:t>
      </w:r>
    </w:p>
    <w:p>
      <w:pPr>
        <w:autoSpaceDE w:val="0"/>
        <w:autoSpaceDN w:val="0"/>
        <w:spacing w:before="120" w:beforeLines="50" w:after="120" w:afterLines="50" w:line="360" w:lineRule="auto"/>
        <w:ind w:right="210" w:rightChars="100"/>
        <w:jc w:val="left"/>
        <w:rPr>
          <w:rFonts w:ascii="宋体" w:hAnsi="宋体" w:cs="宋体"/>
          <w:b/>
          <w:kern w:val="0"/>
          <w:lang w:val="zh-CN" w:bidi="zh-CN"/>
        </w:rPr>
      </w:pPr>
      <w:r>
        <w:rPr>
          <w:rFonts w:ascii="宋体" w:hAnsi="宋体" w:cs="宋体"/>
          <w:b/>
          <w:kern w:val="0"/>
          <w:lang w:val="zh-CN" w:bidi="zh-CN"/>
        </w:rPr>
        <w:t>注：</w:t>
      </w:r>
    </w:p>
    <w:p>
      <w:pPr>
        <w:autoSpaceDE w:val="0"/>
        <w:autoSpaceDN w:val="0"/>
        <w:spacing w:before="120" w:beforeLines="50" w:after="120" w:afterLines="50" w:line="360" w:lineRule="auto"/>
        <w:ind w:right="210" w:rightChars="100" w:firstLine="422" w:firstLineChars="200"/>
        <w:jc w:val="left"/>
        <w:rPr>
          <w:rFonts w:ascii="宋体" w:hAnsi="宋体" w:cs="宋体"/>
          <w:b/>
          <w:kern w:val="0"/>
          <w:lang w:val="zh-CN" w:bidi="zh-CN"/>
        </w:rPr>
      </w:pPr>
      <w:r>
        <w:rPr>
          <w:rFonts w:hint="eastAsia" w:ascii="宋体" w:hAnsi="宋体" w:cs="宋体"/>
          <w:b/>
          <w:kern w:val="0"/>
          <w:lang w:val="en-US" w:bidi="zh-CN"/>
        </w:rPr>
        <w:t>1、</w:t>
      </w:r>
      <w:r>
        <w:rPr>
          <w:rFonts w:ascii="宋体" w:hAnsi="宋体" w:cs="宋体"/>
          <w:b/>
          <w:kern w:val="0"/>
          <w:lang w:val="zh-CN" w:bidi="zh-CN"/>
        </w:rPr>
        <w:t>本表内容根据磋商文件要求包括了服务及其配套的设计、采购、制造、 检测、试验、运输、保险、仓储、税费以及现场落地、安装及安装耗损、调试、验收、培训、技术服务（包括技术资料、图纸的提供）质保期内的售后服务保障等所有费用。</w:t>
      </w:r>
    </w:p>
    <w:p>
      <w:pPr>
        <w:autoSpaceDE w:val="0"/>
        <w:autoSpaceDN w:val="0"/>
        <w:spacing w:before="120" w:beforeLines="50" w:after="120" w:afterLines="50" w:line="360" w:lineRule="auto"/>
        <w:ind w:right="210" w:rightChars="100" w:firstLine="422" w:firstLineChars="200"/>
        <w:jc w:val="left"/>
        <w:rPr>
          <w:rFonts w:ascii="宋体" w:hAnsi="宋体" w:cs="宋体"/>
          <w:b/>
          <w:kern w:val="0"/>
          <w:lang w:val="zh-CN" w:bidi="zh-CN"/>
        </w:rPr>
      </w:pPr>
      <w:r>
        <w:rPr>
          <w:rFonts w:hint="eastAsia" w:ascii="宋体" w:hAnsi="宋体" w:cs="宋体"/>
          <w:b/>
          <w:kern w:val="0"/>
          <w:lang w:val="en-US" w:bidi="zh-CN"/>
        </w:rPr>
        <w:t>2、</w:t>
      </w:r>
      <w:r>
        <w:rPr>
          <w:rFonts w:ascii="宋体" w:hAnsi="宋体" w:cs="宋体"/>
          <w:b/>
          <w:kern w:val="0"/>
          <w:lang w:val="zh-CN" w:bidi="zh-CN"/>
        </w:rPr>
        <w:t>特殊事项在备注中注明。</w:t>
      </w:r>
    </w:p>
    <w:p>
      <w:pPr>
        <w:autoSpaceDE w:val="0"/>
        <w:autoSpaceDN w:val="0"/>
        <w:spacing w:before="120" w:beforeLines="50" w:after="120" w:afterLines="50" w:line="360" w:lineRule="auto"/>
        <w:ind w:right="210" w:rightChars="100" w:firstLine="422" w:firstLineChars="200"/>
        <w:jc w:val="left"/>
        <w:rPr>
          <w:rFonts w:ascii="宋体" w:hAnsi="宋体" w:cs="宋体"/>
          <w:b/>
          <w:kern w:val="0"/>
          <w:lang w:val="zh-CN" w:bidi="zh-CN"/>
        </w:rPr>
      </w:pPr>
      <w:r>
        <w:rPr>
          <w:rFonts w:hint="eastAsia" w:ascii="宋体" w:hAnsi="宋体" w:cs="宋体"/>
          <w:b/>
          <w:kern w:val="0"/>
          <w:lang w:val="en-US" w:bidi="zh-CN"/>
        </w:rPr>
        <w:t>3、</w:t>
      </w:r>
      <w:r>
        <w:rPr>
          <w:rFonts w:ascii="宋体" w:hAnsi="宋体" w:cs="宋体"/>
          <w:b/>
          <w:kern w:val="0"/>
          <w:lang w:val="zh-CN" w:bidi="zh-CN"/>
        </w:rPr>
        <w:t>供应商应根据其响应文件中报价表的内容填写唱标信息，唱标信息不作为评审的依据。唱标信息与报价表不一致的，以报价表为准。</w:t>
      </w:r>
    </w:p>
    <w:p>
      <w:pPr>
        <w:pStyle w:val="2"/>
        <w:ind w:firstLine="422" w:firstLineChars="200"/>
        <w:rPr>
          <w:rFonts w:ascii="宋体" w:hAnsi="宋体" w:eastAsia="宋体" w:cs="宋体"/>
          <w:b/>
          <w:kern w:val="0"/>
          <w:sz w:val="21"/>
          <w:szCs w:val="21"/>
          <w:lang w:val="zh-CN" w:eastAsia="zh-CN" w:bidi="zh-CN"/>
        </w:rPr>
        <w:sectPr>
          <w:pgSz w:w="11910" w:h="16840"/>
          <w:pgMar w:top="1400" w:right="1440" w:bottom="1220" w:left="1580" w:header="877" w:footer="1033" w:gutter="0"/>
          <w:pgNumType w:fmt="decimal"/>
          <w:cols w:space="720" w:num="1"/>
        </w:sectPr>
      </w:pPr>
      <w:r>
        <w:rPr>
          <w:rFonts w:hint="eastAsia" w:cs="宋体"/>
          <w:b/>
          <w:kern w:val="0"/>
          <w:sz w:val="21"/>
          <w:szCs w:val="21"/>
          <w:lang w:val="en-US" w:eastAsia="zh-CN" w:bidi="zh-CN"/>
        </w:rPr>
        <w:t>4、</w:t>
      </w:r>
      <w:r>
        <w:rPr>
          <w:rFonts w:hint="eastAsia" w:ascii="宋体" w:hAnsi="宋体" w:eastAsia="宋体" w:cs="宋体"/>
          <w:b/>
          <w:kern w:val="0"/>
          <w:sz w:val="21"/>
          <w:szCs w:val="21"/>
          <w:lang w:val="zh-CN" w:eastAsia="zh-CN" w:bidi="zh-CN"/>
        </w:rPr>
        <w:t>本表用于多轮报价，供应商须在响应文件中装订一份填写响应报价的表格，另多备几份手持。</w:t>
      </w:r>
    </w:p>
    <w:p>
      <w:pPr>
        <w:spacing w:before="120" w:beforeLines="50" w:after="120" w:afterLines="50" w:line="360" w:lineRule="auto"/>
        <w:rPr>
          <w:rFonts w:ascii="宋体" w:hAnsi="宋体"/>
          <w:b/>
        </w:rPr>
      </w:pPr>
    </w:p>
    <w:p>
      <w:pPr>
        <w:jc w:val="center"/>
        <w:outlineLvl w:val="2"/>
        <w:rPr>
          <w:b/>
          <w:sz w:val="28"/>
          <w:szCs w:val="28"/>
        </w:rPr>
      </w:pPr>
      <w:r>
        <w:rPr>
          <w:rFonts w:hint="eastAsia"/>
          <w:b/>
          <w:sz w:val="28"/>
          <w:szCs w:val="28"/>
          <w:lang w:val="en-US" w:eastAsia="zh-CN"/>
        </w:rPr>
        <w:t>二</w:t>
      </w:r>
      <w:r>
        <w:rPr>
          <w:b/>
          <w:sz w:val="28"/>
          <w:szCs w:val="28"/>
        </w:rPr>
        <w:t>、磋商响应函</w:t>
      </w:r>
    </w:p>
    <w:p>
      <w:pPr>
        <w:spacing w:before="240" w:beforeLines="100" w:after="240" w:afterLines="100" w:line="360" w:lineRule="auto"/>
        <w:rPr>
          <w:b/>
        </w:rPr>
      </w:pPr>
      <w:r>
        <w:rPr>
          <w:b/>
        </w:rPr>
        <w:t xml:space="preserve">致： </w:t>
      </w:r>
      <w:r>
        <w:rPr>
          <w:rFonts w:hint="eastAsia"/>
          <w:b/>
        </w:rPr>
        <w:t>（采购人）</w:t>
      </w:r>
    </w:p>
    <w:p>
      <w:pPr>
        <w:pStyle w:val="2"/>
        <w:spacing w:before="2" w:line="360" w:lineRule="auto"/>
        <w:ind w:left="700"/>
        <w:rPr>
          <w:sz w:val="21"/>
          <w:szCs w:val="21"/>
        </w:rPr>
      </w:pPr>
      <w:r>
        <w:rPr>
          <w:sz w:val="21"/>
          <w:szCs w:val="21"/>
        </w:rPr>
        <w:t>根据贵方的竞争性磋商公告，我方兹宣布同意如下：</w:t>
      </w:r>
    </w:p>
    <w:p>
      <w:pPr>
        <w:pStyle w:val="34"/>
        <w:numPr>
          <w:ilvl w:val="2"/>
          <w:numId w:val="22"/>
        </w:numPr>
        <w:tabs>
          <w:tab w:val="left" w:pos="942"/>
        </w:tabs>
        <w:spacing w:before="160" w:line="360" w:lineRule="auto"/>
        <w:ind w:right="357" w:firstLine="479"/>
        <w:rPr>
          <w:sz w:val="21"/>
          <w:szCs w:val="21"/>
        </w:rPr>
      </w:pPr>
      <w:r>
        <w:rPr>
          <w:spacing w:val="-11"/>
          <w:sz w:val="21"/>
          <w:szCs w:val="21"/>
        </w:rPr>
        <w:t>如我公司成交，我公司承诺愿意按磋商文件规定缴纳履约保证金和成交服</w:t>
      </w:r>
      <w:r>
        <w:rPr>
          <w:sz w:val="21"/>
          <w:szCs w:val="21"/>
        </w:rPr>
        <w:t>务费。按本次磋商文件规定及最后报价承诺供货及安装。</w:t>
      </w:r>
    </w:p>
    <w:p>
      <w:pPr>
        <w:pStyle w:val="34"/>
        <w:numPr>
          <w:ilvl w:val="2"/>
          <w:numId w:val="22"/>
        </w:numPr>
        <w:tabs>
          <w:tab w:val="left" w:pos="942"/>
        </w:tabs>
        <w:spacing w:before="1" w:line="360" w:lineRule="auto"/>
        <w:ind w:right="361" w:firstLine="479"/>
        <w:rPr>
          <w:sz w:val="21"/>
          <w:szCs w:val="21"/>
        </w:rPr>
      </w:pPr>
      <w:r>
        <w:rPr>
          <w:spacing w:val="-1"/>
          <w:sz w:val="21"/>
          <w:szCs w:val="21"/>
        </w:rPr>
        <w:t>我方根据本次磋商文件的规定，严格履行合同的责任和义务,并保证于买</w:t>
      </w:r>
      <w:r>
        <w:rPr>
          <w:sz w:val="21"/>
          <w:szCs w:val="21"/>
        </w:rPr>
        <w:t>方要求的日期内完成服务，并通过买方验收。</w:t>
      </w:r>
    </w:p>
    <w:p>
      <w:pPr>
        <w:pStyle w:val="34"/>
        <w:numPr>
          <w:ilvl w:val="2"/>
          <w:numId w:val="22"/>
        </w:numPr>
        <w:tabs>
          <w:tab w:val="left" w:pos="942"/>
        </w:tabs>
        <w:spacing w:before="2" w:line="360" w:lineRule="auto"/>
        <w:ind w:left="941" w:hanging="242"/>
        <w:rPr>
          <w:sz w:val="21"/>
          <w:szCs w:val="21"/>
        </w:rPr>
      </w:pPr>
      <w:r>
        <w:rPr>
          <w:sz w:val="21"/>
          <w:szCs w:val="21"/>
        </w:rPr>
        <w:t>我方承诺报价低于同类货物和服务的市场平均价格。</w:t>
      </w:r>
    </w:p>
    <w:p>
      <w:pPr>
        <w:pStyle w:val="34"/>
        <w:numPr>
          <w:ilvl w:val="2"/>
          <w:numId w:val="22"/>
        </w:numPr>
        <w:tabs>
          <w:tab w:val="left" w:pos="942"/>
        </w:tabs>
        <w:spacing w:before="161" w:line="360" w:lineRule="auto"/>
        <w:ind w:right="239" w:firstLine="479"/>
        <w:jc w:val="both"/>
        <w:rPr>
          <w:sz w:val="21"/>
          <w:szCs w:val="21"/>
        </w:rPr>
      </w:pPr>
      <w:r>
        <w:rPr>
          <w:spacing w:val="-6"/>
          <w:sz w:val="21"/>
          <w:szCs w:val="21"/>
        </w:rPr>
        <w:t>我方已详细审核本次磋商文件，包括磋商文件附件、参考资料、磋商文件</w:t>
      </w:r>
      <w:r>
        <w:rPr>
          <w:spacing w:val="-4"/>
          <w:sz w:val="21"/>
          <w:szCs w:val="21"/>
        </w:rPr>
        <w:t>修改书或图纸</w:t>
      </w:r>
      <w:r>
        <w:rPr>
          <w:spacing w:val="2"/>
          <w:sz w:val="21"/>
          <w:szCs w:val="21"/>
        </w:rPr>
        <w:t>（</w:t>
      </w:r>
      <w:r>
        <w:rPr>
          <w:sz w:val="21"/>
          <w:szCs w:val="21"/>
        </w:rPr>
        <w:t>如有</w:t>
      </w:r>
      <w:r>
        <w:rPr>
          <w:spacing w:val="-118"/>
          <w:sz w:val="21"/>
          <w:szCs w:val="21"/>
        </w:rPr>
        <w:t>）</w:t>
      </w:r>
      <w:r>
        <w:rPr>
          <w:sz w:val="21"/>
          <w:szCs w:val="21"/>
        </w:rPr>
        <w:t>，我方正式认可并遵守本次磋商文件，并对磋商文件各项</w:t>
      </w:r>
      <w:r>
        <w:rPr>
          <w:spacing w:val="-17"/>
          <w:sz w:val="21"/>
          <w:szCs w:val="21"/>
        </w:rPr>
        <w:t>条款、规定及要求均无异议。我方知道必须放弃提出含糊不清或误解问题的权利。</w:t>
      </w:r>
    </w:p>
    <w:p>
      <w:pPr>
        <w:pStyle w:val="34"/>
        <w:numPr>
          <w:ilvl w:val="2"/>
          <w:numId w:val="22"/>
        </w:numPr>
        <w:tabs>
          <w:tab w:val="left" w:pos="942"/>
        </w:tabs>
        <w:spacing w:before="1" w:line="360" w:lineRule="auto"/>
        <w:ind w:right="357" w:firstLine="479"/>
        <w:rPr>
          <w:sz w:val="21"/>
          <w:szCs w:val="21"/>
        </w:rPr>
      </w:pPr>
      <w:r>
        <w:rPr>
          <w:spacing w:val="-5"/>
          <w:sz w:val="21"/>
          <w:szCs w:val="21"/>
        </w:rPr>
        <w:t>我方同意从供应商须知规定的磋商日期起遵循本磋商文件，并在供应商须</w:t>
      </w:r>
      <w:r>
        <w:rPr>
          <w:sz w:val="21"/>
          <w:szCs w:val="21"/>
        </w:rPr>
        <w:t>知规定的磋商有效期之前均具有约束力。</w:t>
      </w:r>
    </w:p>
    <w:p>
      <w:pPr>
        <w:pStyle w:val="34"/>
        <w:numPr>
          <w:ilvl w:val="2"/>
          <w:numId w:val="22"/>
        </w:numPr>
        <w:tabs>
          <w:tab w:val="left" w:pos="946"/>
        </w:tabs>
        <w:spacing w:before="2" w:line="360" w:lineRule="auto"/>
        <w:ind w:right="350" w:firstLine="479"/>
        <w:rPr>
          <w:sz w:val="21"/>
          <w:szCs w:val="21"/>
        </w:rPr>
      </w:pPr>
      <w:r>
        <w:rPr>
          <w:spacing w:val="4"/>
          <w:sz w:val="21"/>
          <w:szCs w:val="21"/>
        </w:rPr>
        <w:t>我方同意按贵方要求在磋商现场规定时间内向贵方提供与其磋商有关的</w:t>
      </w:r>
      <w:r>
        <w:rPr>
          <w:sz w:val="21"/>
          <w:szCs w:val="21"/>
        </w:rPr>
        <w:t>任何证据或补充资料，否则，我方的响应文件可被贵方拒绝。</w:t>
      </w:r>
    </w:p>
    <w:p>
      <w:pPr>
        <w:pStyle w:val="34"/>
        <w:numPr>
          <w:ilvl w:val="2"/>
          <w:numId w:val="22"/>
        </w:numPr>
        <w:tabs>
          <w:tab w:val="left" w:pos="942"/>
        </w:tabs>
        <w:spacing w:before="1" w:line="360" w:lineRule="auto"/>
        <w:ind w:left="941" w:hanging="242"/>
        <w:rPr>
          <w:sz w:val="21"/>
          <w:szCs w:val="21"/>
        </w:rPr>
      </w:pPr>
      <w:r>
        <w:rPr>
          <w:sz w:val="21"/>
          <w:szCs w:val="21"/>
        </w:rPr>
        <w:t>我方完全理解贵方不一定接受最低报价的磋商。</w:t>
      </w:r>
    </w:p>
    <w:p>
      <w:pPr>
        <w:pStyle w:val="34"/>
        <w:numPr>
          <w:ilvl w:val="2"/>
          <w:numId w:val="22"/>
        </w:numPr>
        <w:tabs>
          <w:tab w:val="left" w:pos="942"/>
        </w:tabs>
        <w:spacing w:before="161" w:line="360" w:lineRule="auto"/>
        <w:ind w:left="941" w:hanging="242"/>
        <w:rPr>
          <w:sz w:val="21"/>
          <w:szCs w:val="21"/>
        </w:rPr>
      </w:pPr>
      <w:r>
        <w:rPr>
          <w:sz w:val="21"/>
          <w:szCs w:val="21"/>
        </w:rPr>
        <w:t>我方同意磋商文件规定的付款方式、服务期限。</w:t>
      </w:r>
    </w:p>
    <w:p>
      <w:pPr>
        <w:pStyle w:val="34"/>
        <w:numPr>
          <w:ilvl w:val="2"/>
          <w:numId w:val="22"/>
        </w:numPr>
        <w:tabs>
          <w:tab w:val="left" w:pos="1062"/>
        </w:tabs>
        <w:spacing w:before="161" w:line="360" w:lineRule="auto"/>
        <w:ind w:right="360" w:firstLine="479"/>
        <w:rPr>
          <w:sz w:val="21"/>
          <w:szCs w:val="21"/>
        </w:rPr>
      </w:pPr>
      <w:r>
        <w:rPr>
          <w:spacing w:val="-1"/>
          <w:sz w:val="21"/>
          <w:szCs w:val="21"/>
        </w:rPr>
        <w:t>我方对响应文件中所提供资料、文件、证书及证件的真实性和有效性负</w:t>
      </w:r>
      <w:r>
        <w:rPr>
          <w:sz w:val="21"/>
          <w:szCs w:val="21"/>
        </w:rPr>
        <w:t>责。</w:t>
      </w:r>
    </w:p>
    <w:p>
      <w:pPr>
        <w:pStyle w:val="34"/>
        <w:numPr>
          <w:ilvl w:val="2"/>
          <w:numId w:val="22"/>
        </w:numPr>
        <w:tabs>
          <w:tab w:val="left" w:pos="1062"/>
          <w:tab w:val="left" w:pos="4956"/>
          <w:tab w:val="left" w:pos="7116"/>
        </w:tabs>
        <w:spacing w:before="1" w:line="360" w:lineRule="auto"/>
        <w:ind w:left="697" w:firstLine="0"/>
        <w:rPr>
          <w:sz w:val="21"/>
          <w:szCs w:val="21"/>
        </w:rPr>
      </w:pPr>
      <w:r>
        <w:rPr>
          <w:sz w:val="21"/>
          <w:szCs w:val="21"/>
        </w:rPr>
        <w:t>与本磋商有关的通讯地址：</w:t>
      </w:r>
      <w:r>
        <w:rPr>
          <w:sz w:val="21"/>
          <w:szCs w:val="21"/>
          <w:u w:val="single"/>
        </w:rPr>
        <w:t xml:space="preserve"> </w:t>
      </w:r>
      <w:r>
        <w:rPr>
          <w:sz w:val="21"/>
          <w:szCs w:val="21"/>
          <w:u w:val="single"/>
        </w:rPr>
        <w:tab/>
      </w:r>
      <w:r>
        <w:rPr>
          <w:sz w:val="21"/>
          <w:szCs w:val="21"/>
          <w:u w:val="single"/>
        </w:rPr>
        <w:tab/>
      </w:r>
      <w:r>
        <w:rPr>
          <w:sz w:val="21"/>
          <w:szCs w:val="21"/>
        </w:rPr>
        <w:t xml:space="preserve"> </w:t>
      </w:r>
      <w:r>
        <w:rPr>
          <w:rFonts w:hint="eastAsia"/>
          <w:sz w:val="21"/>
          <w:szCs w:val="21"/>
        </w:rPr>
        <w:t xml:space="preserve"> </w:t>
      </w:r>
    </w:p>
    <w:p>
      <w:pPr>
        <w:pStyle w:val="34"/>
        <w:tabs>
          <w:tab w:val="left" w:pos="1062"/>
          <w:tab w:val="left" w:pos="4956"/>
          <w:tab w:val="left" w:pos="7116"/>
        </w:tabs>
        <w:spacing w:before="1" w:line="360" w:lineRule="auto"/>
        <w:ind w:left="697" w:firstLine="0"/>
        <w:rPr>
          <w:sz w:val="21"/>
          <w:szCs w:val="21"/>
        </w:rPr>
      </w:pPr>
      <w:r>
        <w:rPr>
          <w:rFonts w:hint="eastAsia"/>
          <w:sz w:val="21"/>
          <w:szCs w:val="21"/>
        </w:rPr>
        <w:t xml:space="preserve">                </w:t>
      </w:r>
    </w:p>
    <w:p>
      <w:pPr>
        <w:pStyle w:val="34"/>
        <w:tabs>
          <w:tab w:val="left" w:pos="1062"/>
          <w:tab w:val="left" w:pos="8550"/>
        </w:tabs>
        <w:spacing w:before="1" w:line="360" w:lineRule="auto"/>
        <w:ind w:left="697" w:firstLine="0"/>
        <w:rPr>
          <w:sz w:val="21"/>
          <w:szCs w:val="21"/>
        </w:rPr>
      </w:pPr>
      <w:r>
        <w:rPr>
          <w:rFonts w:hint="eastAsia"/>
          <w:sz w:val="21"/>
          <w:szCs w:val="21"/>
        </w:rPr>
        <w:t xml:space="preserve">                                   </w:t>
      </w:r>
      <w:r>
        <w:rPr>
          <w:sz w:val="21"/>
          <w:szCs w:val="21"/>
        </w:rPr>
        <w:t>供应商公章：</w:t>
      </w:r>
      <w:r>
        <w:rPr>
          <w:sz w:val="21"/>
          <w:szCs w:val="21"/>
          <w:u w:val="single"/>
        </w:rPr>
        <w:t xml:space="preserve"> </w:t>
      </w:r>
      <w:r>
        <w:rPr>
          <w:sz w:val="21"/>
          <w:szCs w:val="21"/>
          <w:u w:val="single"/>
        </w:rPr>
        <w:tab/>
      </w:r>
    </w:p>
    <w:p>
      <w:pPr>
        <w:pStyle w:val="2"/>
        <w:tabs>
          <w:tab w:val="left" w:pos="5841"/>
          <w:tab w:val="left" w:pos="8923"/>
        </w:tabs>
        <w:spacing w:before="160" w:line="360" w:lineRule="auto"/>
        <w:ind w:left="703"/>
        <w:jc w:val="center"/>
        <w:rPr>
          <w:sz w:val="21"/>
          <w:szCs w:val="21"/>
          <w:u w:val="single"/>
        </w:rPr>
      </w:pPr>
      <w:r>
        <w:rPr>
          <w:rFonts w:hint="eastAsia"/>
          <w:sz w:val="21"/>
          <w:szCs w:val="21"/>
        </w:rPr>
        <w:t xml:space="preserve">                       法定代表人或其委托代理人：</w:t>
      </w:r>
      <w:r>
        <w:rPr>
          <w:rFonts w:hint="eastAsia"/>
          <w:sz w:val="21"/>
          <w:szCs w:val="21"/>
          <w:u w:val="single"/>
        </w:rPr>
        <w:t xml:space="preserve">（签字或盖章） </w:t>
      </w:r>
    </w:p>
    <w:p>
      <w:pPr>
        <w:pStyle w:val="2"/>
        <w:tabs>
          <w:tab w:val="left" w:pos="1420"/>
          <w:tab w:val="left" w:pos="4595"/>
        </w:tabs>
        <w:spacing w:before="1" w:line="360" w:lineRule="auto"/>
        <w:ind w:left="699" w:leftChars="333" w:firstLine="4200" w:firstLineChars="2000"/>
        <w:rPr>
          <w:sz w:val="21"/>
          <w:szCs w:val="21"/>
        </w:rPr>
      </w:pPr>
      <w:r>
        <w:rPr>
          <w:sz w:val="21"/>
          <w:szCs w:val="21"/>
        </w:rPr>
        <w:t>日</w:t>
      </w:r>
      <w:r>
        <w:rPr>
          <w:sz w:val="21"/>
          <w:szCs w:val="21"/>
        </w:rPr>
        <w:tab/>
      </w:r>
      <w:r>
        <w:rPr>
          <w:rFonts w:hint="eastAsia"/>
          <w:sz w:val="21"/>
          <w:szCs w:val="21"/>
        </w:rPr>
        <w:t xml:space="preserve">    </w:t>
      </w:r>
      <w:r>
        <w:rPr>
          <w:sz w:val="21"/>
          <w:szCs w:val="21"/>
        </w:rPr>
        <w:t>期：</w:t>
      </w:r>
      <w:r>
        <w:rPr>
          <w:sz w:val="21"/>
          <w:szCs w:val="21"/>
          <w:u w:val="single"/>
        </w:rPr>
        <w:t xml:space="preserve"> </w:t>
      </w:r>
      <w:r>
        <w:rPr>
          <w:rFonts w:hint="eastAsia"/>
          <w:sz w:val="21"/>
          <w:szCs w:val="21"/>
          <w:u w:val="single"/>
        </w:rPr>
        <w:t xml:space="preserve">        </w:t>
      </w:r>
      <w:r>
        <w:rPr>
          <w:sz w:val="21"/>
          <w:szCs w:val="21"/>
          <w:u w:val="single"/>
        </w:rPr>
        <w:tab/>
      </w:r>
    </w:p>
    <w:p>
      <w:pPr>
        <w:spacing w:line="360" w:lineRule="auto"/>
        <w:rPr>
          <w:rFonts w:ascii="宋体" w:hAnsi="宋体"/>
        </w:rPr>
        <w:sectPr>
          <w:pgSz w:w="11910" w:h="16840"/>
          <w:pgMar w:top="1400" w:right="1440" w:bottom="1220" w:left="1580" w:header="877" w:footer="1033" w:gutter="0"/>
          <w:pgNumType w:fmt="decimal"/>
          <w:cols w:space="720" w:num="1"/>
        </w:sectPr>
      </w:pPr>
    </w:p>
    <w:p>
      <w:pPr>
        <w:spacing w:line="360" w:lineRule="auto"/>
        <w:jc w:val="left"/>
        <w:rPr>
          <w:rFonts w:ascii="宋体" w:hAnsi="宋体" w:cs="黑体"/>
        </w:rPr>
      </w:pPr>
      <w:r>
        <w:rPr>
          <w:rFonts w:hint="eastAsia" w:ascii="宋体" w:hAnsi="宋体" w:cs="黑体"/>
          <w:b/>
        </w:rPr>
        <w:t>附录1</w:t>
      </w:r>
      <w:r>
        <w:rPr>
          <w:rFonts w:hint="eastAsia" w:ascii="宋体" w:hAnsi="宋体" w:cs="黑体"/>
        </w:rPr>
        <w:t>:</w:t>
      </w:r>
    </w:p>
    <w:p>
      <w:pPr>
        <w:spacing w:line="360" w:lineRule="auto"/>
        <w:jc w:val="left"/>
        <w:rPr>
          <w:rFonts w:ascii="宋体" w:hAnsi="宋体" w:cs="黑体"/>
        </w:rPr>
      </w:pPr>
    </w:p>
    <w:p>
      <w:pPr>
        <w:spacing w:line="360" w:lineRule="auto"/>
        <w:jc w:val="center"/>
        <w:rPr>
          <w:rFonts w:ascii="宋体" w:hAnsi="宋体" w:cs="黑体"/>
        </w:rPr>
      </w:pPr>
      <w:r>
        <w:rPr>
          <w:rFonts w:hint="eastAsia" w:ascii="宋体" w:hAnsi="宋体" w:cs="黑体"/>
        </w:rPr>
        <w:t>供应商诚信承诺书</w:t>
      </w:r>
    </w:p>
    <w:p>
      <w:pPr>
        <w:pStyle w:val="50"/>
        <w:widowControl w:val="0"/>
        <w:spacing w:line="360" w:lineRule="auto"/>
        <w:rPr>
          <w:rFonts w:ascii="宋体" w:hAnsi="宋体"/>
          <w:bCs/>
          <w:u w:val="single"/>
        </w:rPr>
      </w:pPr>
      <w:r>
        <w:rPr>
          <w:rFonts w:hint="eastAsia" w:ascii="宋体" w:hAnsi="宋体"/>
          <w:bCs/>
        </w:rPr>
        <w:t>致：</w:t>
      </w:r>
      <w:r>
        <w:rPr>
          <w:rFonts w:hint="eastAsia" w:ascii="宋体" w:hAnsi="宋体"/>
          <w:bCs/>
          <w:u w:val="single"/>
        </w:rPr>
        <w:t xml:space="preserve">  （采购人）</w:t>
      </w:r>
    </w:p>
    <w:p>
      <w:pPr>
        <w:spacing w:line="360" w:lineRule="auto"/>
        <w:ind w:firstLine="420" w:firstLineChars="200"/>
        <w:rPr>
          <w:rFonts w:ascii="宋体" w:hAnsi="宋体" w:cs="仿宋"/>
        </w:rPr>
      </w:pPr>
      <w:r>
        <w:rPr>
          <w:rFonts w:hint="eastAsia" w:ascii="宋体" w:hAnsi="宋体" w:cs="仿宋"/>
        </w:rPr>
        <w:t>我单位参加本次投标，承诺如下：</w:t>
      </w:r>
    </w:p>
    <w:p>
      <w:pPr>
        <w:spacing w:line="360" w:lineRule="auto"/>
        <w:ind w:firstLine="420" w:firstLineChars="200"/>
        <w:rPr>
          <w:rFonts w:ascii="宋体" w:hAnsi="宋体" w:cs="仿宋"/>
        </w:rPr>
      </w:pPr>
      <w:r>
        <w:rPr>
          <w:rFonts w:hint="eastAsia" w:ascii="宋体" w:hAnsi="宋体" w:cs="仿宋"/>
        </w:rPr>
        <w:t>1. 提供的所有资料都是真实有效。如被发现提供虚假资料或虚假承诺（声明），同意取消磋商和成交候选人资格。</w:t>
      </w:r>
    </w:p>
    <w:p>
      <w:pPr>
        <w:spacing w:line="360" w:lineRule="auto"/>
        <w:ind w:firstLine="420" w:firstLineChars="200"/>
        <w:rPr>
          <w:rFonts w:ascii="宋体" w:hAnsi="宋体" w:cs="仿宋"/>
        </w:rPr>
      </w:pPr>
      <w:r>
        <w:rPr>
          <w:rFonts w:hint="eastAsia" w:ascii="宋体" w:hAnsi="宋体" w:cs="仿宋"/>
        </w:rPr>
        <w:t>2. 不存在借用资质、串通投标等情形。如被发现，同意取消磋商和成交候选人资格。</w:t>
      </w:r>
    </w:p>
    <w:p>
      <w:pPr>
        <w:spacing w:line="360" w:lineRule="auto"/>
        <w:ind w:firstLine="420" w:firstLineChars="200"/>
        <w:rPr>
          <w:rFonts w:ascii="宋体" w:hAnsi="宋体" w:cs="仿宋"/>
        </w:rPr>
      </w:pPr>
      <w:r>
        <w:rPr>
          <w:rFonts w:hint="eastAsia" w:ascii="宋体" w:hAnsi="宋体" w:cs="仿宋"/>
        </w:rPr>
        <w:t>3．如我方为成交候选人，除不可抗力（是指不能预见、不能避免并不能克服的客观情况，包括自然灾害和社会突发事件，如地震、海啸、瘟疫、水灾、骚乱、暴动、战争等），不因任何其它原因放弃成交候选人资格。</w:t>
      </w:r>
    </w:p>
    <w:p>
      <w:pPr>
        <w:spacing w:line="360" w:lineRule="auto"/>
        <w:ind w:firstLine="420" w:firstLineChars="200"/>
        <w:rPr>
          <w:rFonts w:ascii="宋体" w:hAnsi="宋体" w:cs="仿宋"/>
        </w:rPr>
      </w:pPr>
      <w:r>
        <w:rPr>
          <w:rFonts w:hint="eastAsia" w:ascii="宋体" w:hAnsi="宋体" w:cs="仿宋"/>
        </w:rPr>
        <w:t>4、我方成交后，严格按照采购文件和我单位响应文件的约定签订合同。</w:t>
      </w:r>
    </w:p>
    <w:p>
      <w:pPr>
        <w:spacing w:line="360" w:lineRule="auto"/>
        <w:ind w:firstLine="420" w:firstLineChars="200"/>
        <w:rPr>
          <w:rFonts w:ascii="宋体" w:hAnsi="宋体" w:cs="仿宋"/>
        </w:rPr>
      </w:pPr>
      <w:r>
        <w:rPr>
          <w:rFonts w:hint="eastAsia" w:ascii="宋体" w:hAnsi="宋体" w:cs="仿宋"/>
        </w:rPr>
        <w:t>5、我方同意将达不到供应商资格要求条件仍参与磋商或被行政主管部门、监督管理部门等暂停、取消公共资源交易资格且在限制期内仍参与磋商的情形视为弄虚作假，愿意接受处理。</w:t>
      </w:r>
    </w:p>
    <w:p>
      <w:pPr>
        <w:spacing w:line="360" w:lineRule="auto"/>
        <w:ind w:firstLine="420" w:firstLineChars="200"/>
        <w:rPr>
          <w:rFonts w:ascii="宋体" w:hAnsi="宋体" w:cs="仿宋"/>
        </w:rPr>
      </w:pPr>
      <w:r>
        <w:rPr>
          <w:rFonts w:hint="eastAsia" w:ascii="宋体" w:hAnsi="宋体" w:cs="仿宋"/>
        </w:rPr>
        <w:t>6、我方参与磋商如出现报价高于或等于该项目最高限价的情形，同意视为串通投标并接受处理。</w:t>
      </w:r>
    </w:p>
    <w:p>
      <w:pPr>
        <w:spacing w:line="360" w:lineRule="auto"/>
        <w:ind w:firstLine="420" w:firstLineChars="200"/>
        <w:rPr>
          <w:rFonts w:ascii="宋体" w:hAnsi="宋体" w:cs="华文仿宋"/>
          <w:kern w:val="0"/>
        </w:rPr>
      </w:pPr>
      <w:r>
        <w:rPr>
          <w:rFonts w:hint="eastAsia" w:ascii="宋体" w:hAnsi="宋体" w:cs="华文仿宋"/>
          <w:kern w:val="0"/>
        </w:rPr>
        <w:t>出现违反上述承诺情形之一的，我单位愿意公开披露我单位违反承诺的不良行为信息，愿意接受处罚并承担所有经济损失和法律责任。</w:t>
      </w:r>
    </w:p>
    <w:p>
      <w:pPr>
        <w:spacing w:line="360" w:lineRule="auto"/>
        <w:ind w:firstLine="420" w:firstLineChars="200"/>
        <w:rPr>
          <w:rFonts w:ascii="宋体" w:hAnsi="宋体"/>
        </w:rPr>
      </w:pPr>
      <w:r>
        <w:rPr>
          <w:rFonts w:hint="eastAsia" w:ascii="宋体" w:hAnsi="宋体"/>
        </w:rPr>
        <w:t xml:space="preserve">后期履约过程中除不可抗力外如我单位放弃（拒绝）履约，同意采购人（甲方）不予退还履约保证金，我单位（乙方）不要求退还履约保证金。 </w:t>
      </w:r>
    </w:p>
    <w:p>
      <w:pPr>
        <w:spacing w:line="360" w:lineRule="auto"/>
        <w:ind w:firstLine="522" w:firstLineChars="249"/>
        <w:rPr>
          <w:rFonts w:ascii="宋体" w:hAnsi="宋体"/>
        </w:rPr>
      </w:pPr>
      <w:r>
        <w:rPr>
          <w:rFonts w:hint="eastAsia" w:ascii="宋体" w:hAnsi="宋体"/>
        </w:rPr>
        <w:t>此承诺不受投标有效期的限制。</w:t>
      </w:r>
    </w:p>
    <w:p>
      <w:pPr>
        <w:spacing w:line="360" w:lineRule="auto"/>
        <w:ind w:firstLine="420" w:firstLineChars="200"/>
        <w:rPr>
          <w:rFonts w:ascii="宋体" w:hAnsi="宋体" w:cs="华文仿宋"/>
          <w:kern w:val="0"/>
        </w:rPr>
      </w:pPr>
    </w:p>
    <w:p>
      <w:pPr>
        <w:pStyle w:val="50"/>
        <w:widowControl w:val="0"/>
        <w:spacing w:line="360" w:lineRule="auto"/>
        <w:ind w:firstLine="420"/>
        <w:rPr>
          <w:rFonts w:ascii="宋体" w:hAnsi="宋体" w:cs="宋体"/>
          <w:u w:val="single"/>
        </w:rPr>
      </w:pPr>
      <w:r>
        <w:rPr>
          <w:rFonts w:hint="eastAsia" w:ascii="宋体" w:hAnsi="宋体" w:cs="宋体"/>
        </w:rPr>
        <w:t xml:space="preserve">                      </w:t>
      </w:r>
      <w:r>
        <w:rPr>
          <w:rFonts w:hint="eastAsia" w:ascii="宋体" w:hAnsi="宋体"/>
        </w:rPr>
        <w:t>供应商</w:t>
      </w:r>
      <w:r>
        <w:rPr>
          <w:rFonts w:ascii="宋体" w:hAnsi="宋体"/>
        </w:rPr>
        <w:t>公章</w:t>
      </w:r>
      <w:r>
        <w:rPr>
          <w:rFonts w:hint="eastAsia" w:ascii="宋体" w:hAnsi="宋体" w:cs="宋体"/>
        </w:rPr>
        <w:t>：</w:t>
      </w:r>
      <w:r>
        <w:rPr>
          <w:rFonts w:hint="eastAsia" w:ascii="宋体" w:hAnsi="宋体" w:cs="宋体"/>
          <w:u w:val="single"/>
        </w:rPr>
        <w:t xml:space="preserve">                       </w:t>
      </w:r>
    </w:p>
    <w:p>
      <w:pPr>
        <w:pStyle w:val="50"/>
        <w:widowControl w:val="0"/>
        <w:spacing w:line="360" w:lineRule="auto"/>
        <w:ind w:firstLine="2362" w:firstLineChars="1125"/>
        <w:rPr>
          <w:rFonts w:ascii="宋体" w:hAnsi="宋体"/>
        </w:rPr>
      </w:pPr>
      <w:r>
        <w:rPr>
          <w:rFonts w:hint="eastAsia" w:ascii="宋体" w:hAnsi="宋体"/>
        </w:rPr>
        <w:t>法定代表人或其委托代理人：</w:t>
      </w:r>
      <w:r>
        <w:rPr>
          <w:rFonts w:hint="eastAsia" w:ascii="宋体" w:hAnsi="宋体"/>
          <w:u w:val="single"/>
        </w:rPr>
        <w:t>（签字或盖章）</w:t>
      </w:r>
    </w:p>
    <w:p>
      <w:pPr>
        <w:pStyle w:val="50"/>
        <w:widowControl w:val="0"/>
        <w:spacing w:line="360" w:lineRule="auto"/>
        <w:ind w:firstLine="420"/>
        <w:jc w:val="center"/>
        <w:rPr>
          <w:rFonts w:ascii="宋体" w:hAnsi="宋体" w:cs="宋体"/>
        </w:rPr>
      </w:pPr>
      <w:r>
        <w:rPr>
          <w:rFonts w:hint="eastAsia" w:ascii="宋体" w:hAnsi="宋体" w:cs="宋体"/>
        </w:rPr>
        <w:t xml:space="preserve">                                               年   月    日</w:t>
      </w:r>
    </w:p>
    <w:p>
      <w:pPr>
        <w:widowControl/>
        <w:jc w:val="center"/>
        <w:rPr>
          <w:rFonts w:ascii="宋体" w:hAnsi="宋体"/>
          <w:b/>
          <w:bCs/>
        </w:rPr>
      </w:pPr>
      <w:r>
        <w:rPr>
          <w:rFonts w:ascii="宋体" w:hAnsi="宋体" w:cs="宋体"/>
        </w:rPr>
        <w:br w:type="page"/>
      </w:r>
    </w:p>
    <w:p>
      <w:pPr>
        <w:jc w:val="center"/>
        <w:outlineLvl w:val="2"/>
        <w:rPr>
          <w:rFonts w:hint="eastAsia"/>
          <w:b/>
          <w:sz w:val="28"/>
          <w:szCs w:val="28"/>
          <w:lang w:val="en-US" w:eastAsia="zh-CN"/>
        </w:rPr>
      </w:pPr>
      <w:r>
        <w:rPr>
          <w:rFonts w:hint="eastAsia"/>
          <w:b/>
          <w:sz w:val="28"/>
          <w:szCs w:val="28"/>
          <w:lang w:val="en-US" w:eastAsia="zh-CN"/>
        </w:rPr>
        <w:t>三、授权书</w:t>
      </w:r>
    </w:p>
    <w:p>
      <w:pPr>
        <w:pStyle w:val="2"/>
        <w:spacing w:line="360" w:lineRule="auto"/>
        <w:rPr>
          <w:b/>
          <w:sz w:val="21"/>
          <w:szCs w:val="21"/>
        </w:rPr>
      </w:pPr>
    </w:p>
    <w:p>
      <w:pPr>
        <w:pStyle w:val="2"/>
        <w:spacing w:before="11" w:line="360" w:lineRule="auto"/>
        <w:rPr>
          <w:b/>
          <w:sz w:val="21"/>
          <w:szCs w:val="21"/>
        </w:rPr>
      </w:pPr>
    </w:p>
    <w:p>
      <w:pPr>
        <w:pStyle w:val="2"/>
        <w:spacing w:line="360" w:lineRule="auto"/>
        <w:rPr>
          <w:b/>
          <w:sz w:val="21"/>
          <w:szCs w:val="21"/>
          <w:lang w:val="en-US"/>
        </w:rPr>
      </w:pPr>
    </w:p>
    <w:p>
      <w:pPr>
        <w:spacing w:line="360" w:lineRule="auto"/>
        <w:ind w:firstLine="645"/>
        <w:rPr>
          <w:rFonts w:ascii="宋体" w:hAnsi="宋体"/>
        </w:rPr>
      </w:pPr>
      <w:r>
        <w:rPr>
          <w:rFonts w:hint="eastAsia" w:ascii="宋体" w:hAnsi="宋体"/>
        </w:rPr>
        <w:t>本授权书声明：</w:t>
      </w:r>
      <w:r>
        <w:rPr>
          <w:rFonts w:hint="eastAsia" w:ascii="宋体" w:hAnsi="宋体"/>
          <w:u w:val="single"/>
        </w:rPr>
        <w:t xml:space="preserve">           </w:t>
      </w:r>
      <w:r>
        <w:rPr>
          <w:rFonts w:hint="eastAsia" w:ascii="宋体" w:hAnsi="宋体"/>
        </w:rPr>
        <w:t>公司（工厂）（纳税人识别号：</w:t>
      </w:r>
      <w:r>
        <w:rPr>
          <w:rFonts w:hint="eastAsia" w:ascii="宋体" w:hAnsi="宋体"/>
          <w:u w:val="single"/>
        </w:rPr>
        <w:t xml:space="preserve">   </w:t>
      </w:r>
      <w:r>
        <w:rPr>
          <w:rFonts w:hint="eastAsia" w:ascii="宋体" w:hAnsi="宋体"/>
        </w:rPr>
        <w:t>）的</w:t>
      </w:r>
      <w:r>
        <w:rPr>
          <w:rFonts w:hint="eastAsia" w:ascii="宋体" w:hAnsi="宋体"/>
          <w:u w:val="single"/>
        </w:rPr>
        <w:t xml:space="preserve">       </w:t>
      </w:r>
      <w:r>
        <w:rPr>
          <w:rFonts w:hint="eastAsia" w:ascii="宋体" w:hAnsi="宋体"/>
        </w:rPr>
        <w:t>（法人代表姓名、职务）代表本公司（工厂）授权本公司（工厂）</w:t>
      </w:r>
      <w:r>
        <w:rPr>
          <w:rFonts w:hint="eastAsia" w:ascii="宋体" w:hAnsi="宋体"/>
          <w:u w:val="single"/>
        </w:rPr>
        <w:t xml:space="preserve">        </w:t>
      </w:r>
      <w:r>
        <w:rPr>
          <w:rFonts w:hint="eastAsia" w:ascii="宋体" w:hAnsi="宋体"/>
        </w:rPr>
        <w:t>（被授权人的姓名、职务）为本公司（工厂）的合法代理人，参加</w:t>
      </w:r>
      <w:r>
        <w:rPr>
          <w:rFonts w:hint="eastAsia" w:ascii="宋体" w:hAnsi="宋体"/>
          <w:u w:val="single"/>
        </w:rPr>
        <w:t xml:space="preserve">                     </w:t>
      </w:r>
      <w:r>
        <w:rPr>
          <w:rFonts w:hint="eastAsia" w:ascii="宋体" w:hAnsi="宋体"/>
        </w:rPr>
        <w:t>采购项目活动（项目编号</w:t>
      </w:r>
      <w:r>
        <w:rPr>
          <w:rFonts w:hint="eastAsia" w:ascii="宋体" w:hAnsi="宋体"/>
          <w:u w:val="single"/>
        </w:rPr>
        <w:t xml:space="preserve">：             </w:t>
      </w:r>
      <w:r>
        <w:rPr>
          <w:rFonts w:hint="eastAsia" w:ascii="宋体" w:hAnsi="宋体"/>
        </w:rPr>
        <w:t>），全权代表本公司处理磋商过程的一切事宜，包括但不限于：磋商、签约等。供应商代表在磋商过程中所签署的一切文件和处理与之有关的一切事务，本公司均予以认可并对此承担责任。被授权人无转委托权。特此授权。</w:t>
      </w:r>
    </w:p>
    <w:p>
      <w:pPr>
        <w:spacing w:line="360" w:lineRule="auto"/>
        <w:ind w:firstLine="645"/>
        <w:rPr>
          <w:rFonts w:ascii="宋体" w:hAnsi="宋体"/>
        </w:rPr>
      </w:pPr>
      <w:r>
        <w:rPr>
          <w:rFonts w:hint="eastAsia" w:ascii="宋体" w:hAnsi="宋体"/>
        </w:rPr>
        <w:t>本授权书自出具之日起生效。</w:t>
      </w:r>
    </w:p>
    <w:p>
      <w:pPr>
        <w:spacing w:line="360" w:lineRule="auto"/>
        <w:ind w:firstLine="645"/>
        <w:rPr>
          <w:rFonts w:ascii="宋体" w:hAnsi="宋体"/>
        </w:rPr>
      </w:pPr>
      <w:r>
        <w:rPr>
          <w:rFonts w:hint="eastAsia" w:ascii="宋体" w:hAnsi="宋体"/>
        </w:rPr>
        <w:t>特此声明。</w:t>
      </w:r>
    </w:p>
    <w:p>
      <w:pPr>
        <w:spacing w:line="360" w:lineRule="auto"/>
        <w:ind w:firstLine="645"/>
        <w:rPr>
          <w:rFonts w:ascii="宋体" w:hAnsi="宋体"/>
        </w:rPr>
      </w:pPr>
    </w:p>
    <w:p>
      <w:pPr>
        <w:spacing w:line="360" w:lineRule="auto"/>
        <w:ind w:firstLine="645"/>
        <w:rPr>
          <w:rFonts w:ascii="宋体" w:hAnsi="宋体"/>
        </w:rPr>
      </w:pPr>
      <w:r>
        <w:rPr>
          <w:rFonts w:hint="eastAsia" w:ascii="宋体" w:hAnsi="宋体"/>
        </w:rPr>
        <w:t>法定代表人联系方式：</w:t>
      </w:r>
      <w:r>
        <w:rPr>
          <w:rFonts w:hint="eastAsia" w:ascii="宋体" w:hAnsi="宋体"/>
          <w:u w:val="single"/>
        </w:rPr>
        <w:t xml:space="preserve">（手机号码）       </w:t>
      </w:r>
    </w:p>
    <w:p>
      <w:pPr>
        <w:spacing w:line="360" w:lineRule="auto"/>
        <w:ind w:firstLine="645"/>
        <w:rPr>
          <w:rFonts w:ascii="宋体" w:hAnsi="宋体"/>
        </w:rPr>
      </w:pPr>
      <w:r>
        <w:rPr>
          <w:rFonts w:hint="eastAsia" w:ascii="宋体" w:hAnsi="宋体"/>
        </w:rPr>
        <w:t>授权委托人联系方式：</w:t>
      </w:r>
      <w:r>
        <w:rPr>
          <w:rFonts w:hint="eastAsia" w:ascii="宋体" w:hAnsi="宋体"/>
          <w:u w:val="single"/>
        </w:rPr>
        <w:t xml:space="preserve">（手机号码）       </w:t>
      </w:r>
    </w:p>
    <w:p>
      <w:pPr>
        <w:spacing w:line="360" w:lineRule="auto"/>
        <w:ind w:firstLine="645"/>
        <w:rPr>
          <w:rFonts w:ascii="宋体" w:hAnsi="宋体"/>
        </w:rPr>
      </w:pPr>
    </w:p>
    <w:p>
      <w:pPr>
        <w:spacing w:line="360" w:lineRule="auto"/>
        <w:ind w:firstLine="645"/>
        <w:rPr>
          <w:rFonts w:ascii="宋体" w:hAnsi="宋体"/>
          <w:u w:val="single"/>
        </w:rPr>
      </w:pPr>
      <w:r>
        <w:rPr>
          <w:rFonts w:hint="eastAsia" w:ascii="宋体" w:hAnsi="宋体"/>
        </w:rPr>
        <w:t>法人代表签字或盖章：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代理人（被授权人）签字或盖章：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供应商公章：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授权委托日期：</w:t>
      </w:r>
      <w:r>
        <w:rPr>
          <w:rFonts w:hint="eastAsia" w:ascii="宋体" w:hAnsi="宋体"/>
          <w:u w:val="single"/>
        </w:rPr>
        <w:t xml:space="preserve">                 </w:t>
      </w:r>
    </w:p>
    <w:p>
      <w:pPr>
        <w:spacing w:line="360" w:lineRule="auto"/>
        <w:rPr>
          <w:rFonts w:ascii="宋体" w:hAnsi="宋体" w:cs="Arial"/>
          <w:b/>
        </w:rPr>
      </w:pPr>
    </w:p>
    <w:p>
      <w:pPr>
        <w:pStyle w:val="2"/>
        <w:spacing w:before="66" w:line="360" w:lineRule="auto"/>
        <w:rPr>
          <w:sz w:val="21"/>
          <w:szCs w:val="21"/>
        </w:rPr>
      </w:pPr>
      <w:r>
        <w:rPr>
          <w:sz w:val="21"/>
          <w:szCs w:val="21"/>
        </w:rPr>
        <w:t>注：</w:t>
      </w:r>
    </w:p>
    <w:p>
      <w:pPr>
        <w:pStyle w:val="34"/>
        <w:tabs>
          <w:tab w:val="left" w:pos="896"/>
        </w:tabs>
        <w:spacing w:before="161" w:line="360" w:lineRule="auto"/>
        <w:ind w:left="220" w:firstLine="0"/>
        <w:rPr>
          <w:sz w:val="21"/>
          <w:szCs w:val="21"/>
        </w:rPr>
      </w:pPr>
      <w:r>
        <w:rPr>
          <w:rFonts w:hint="eastAsia"/>
          <w:sz w:val="21"/>
          <w:szCs w:val="21"/>
          <w:lang w:val="en-US"/>
        </w:rPr>
        <w:t>1、</w:t>
      </w:r>
      <w:r>
        <w:rPr>
          <w:sz w:val="21"/>
          <w:szCs w:val="21"/>
        </w:rPr>
        <w:t>本项目只允许有唯一的</w:t>
      </w:r>
      <w:r>
        <w:rPr>
          <w:rFonts w:hint="eastAsia"/>
          <w:sz w:val="21"/>
          <w:szCs w:val="21"/>
        </w:rPr>
        <w:t>供应商</w:t>
      </w:r>
      <w:r>
        <w:rPr>
          <w:sz w:val="21"/>
          <w:szCs w:val="21"/>
        </w:rPr>
        <w:t>授权代表，提供</w:t>
      </w:r>
      <w:r>
        <w:rPr>
          <w:rFonts w:hint="eastAsia"/>
          <w:sz w:val="21"/>
          <w:szCs w:val="21"/>
          <w:lang w:val="en-US" w:eastAsia="zh-CN"/>
        </w:rPr>
        <w:t>法人及被授权人</w:t>
      </w:r>
      <w:r>
        <w:rPr>
          <w:sz w:val="21"/>
          <w:szCs w:val="21"/>
        </w:rPr>
        <w:t>身份证明扫描件；</w:t>
      </w:r>
    </w:p>
    <w:p>
      <w:pPr>
        <w:pStyle w:val="34"/>
        <w:tabs>
          <w:tab w:val="left" w:pos="462"/>
        </w:tabs>
        <w:spacing w:line="360" w:lineRule="auto"/>
        <w:ind w:left="220" w:firstLine="0"/>
        <w:rPr>
          <w:sz w:val="21"/>
          <w:szCs w:val="21"/>
        </w:rPr>
      </w:pPr>
      <w:r>
        <w:rPr>
          <w:rFonts w:hint="eastAsia"/>
          <w:sz w:val="21"/>
          <w:szCs w:val="21"/>
          <w:lang w:val="en-US"/>
        </w:rPr>
        <w:t>2、</w:t>
      </w:r>
      <w:r>
        <w:rPr>
          <w:sz w:val="21"/>
          <w:szCs w:val="21"/>
        </w:rPr>
        <w:t>法定代表人参加</w:t>
      </w:r>
      <w:r>
        <w:rPr>
          <w:rFonts w:hint="eastAsia"/>
          <w:sz w:val="21"/>
          <w:szCs w:val="21"/>
        </w:rPr>
        <w:t>磋商</w:t>
      </w:r>
      <w:r>
        <w:rPr>
          <w:sz w:val="21"/>
          <w:szCs w:val="21"/>
        </w:rPr>
        <w:t>的无需提供授权书，提供身份证明扫描件。</w:t>
      </w:r>
    </w:p>
    <w:p>
      <w:pPr>
        <w:spacing w:line="360" w:lineRule="auto"/>
        <w:rPr>
          <w:rFonts w:ascii="宋体" w:hAnsi="宋体"/>
        </w:rPr>
        <w:sectPr>
          <w:pgSz w:w="11910" w:h="16840"/>
          <w:pgMar w:top="1400" w:right="1440" w:bottom="1220" w:left="1580" w:header="877" w:footer="1033" w:gutter="0"/>
          <w:pgNumType w:fmt="decimal"/>
          <w:cols w:space="720" w:num="1"/>
        </w:sectPr>
      </w:pPr>
    </w:p>
    <w:p>
      <w:pPr>
        <w:spacing w:before="240" w:beforeLines="100" w:after="240" w:afterLines="100"/>
        <w:jc w:val="center"/>
        <w:outlineLvl w:val="2"/>
        <w:rPr>
          <w:b/>
          <w:sz w:val="28"/>
          <w:szCs w:val="28"/>
        </w:rPr>
      </w:pPr>
      <w:r>
        <w:rPr>
          <w:rFonts w:hint="eastAsia"/>
          <w:b/>
          <w:sz w:val="28"/>
          <w:szCs w:val="28"/>
          <w:lang w:val="en-US" w:eastAsia="zh-CN"/>
        </w:rPr>
        <w:t>四</w:t>
      </w:r>
      <w:r>
        <w:rPr>
          <w:b/>
          <w:sz w:val="28"/>
          <w:szCs w:val="28"/>
        </w:rPr>
        <w:t>、商务响应表</w:t>
      </w:r>
    </w:p>
    <w:p>
      <w:pPr>
        <w:pStyle w:val="2"/>
        <w:spacing w:line="360" w:lineRule="auto"/>
        <w:rPr>
          <w:b/>
          <w:sz w:val="21"/>
          <w:szCs w:val="21"/>
        </w:rPr>
      </w:pPr>
    </w:p>
    <w:p>
      <w:pPr>
        <w:pStyle w:val="2"/>
        <w:spacing w:before="11" w:line="360" w:lineRule="auto"/>
        <w:rPr>
          <w:b/>
          <w:sz w:val="21"/>
          <w:szCs w:val="21"/>
        </w:rPr>
      </w:pPr>
    </w:p>
    <w:tbl>
      <w:tblPr>
        <w:tblStyle w:val="18"/>
        <w:tblW w:w="8525"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2497"/>
        <w:gridCol w:w="2576"/>
        <w:gridCol w:w="8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shd w:val="clear" w:color="auto" w:fill="auto"/>
          </w:tcPr>
          <w:p>
            <w:pPr>
              <w:pStyle w:val="46"/>
              <w:spacing w:before="155" w:line="360" w:lineRule="auto"/>
              <w:ind w:left="101" w:right="92"/>
              <w:jc w:val="center"/>
              <w:rPr>
                <w:b/>
                <w:sz w:val="21"/>
                <w:szCs w:val="21"/>
                <w:lang w:eastAsia="en-US"/>
              </w:rPr>
            </w:pPr>
            <w:r>
              <w:rPr>
                <w:b/>
                <w:sz w:val="21"/>
                <w:szCs w:val="21"/>
                <w:lang w:eastAsia="en-US"/>
              </w:rPr>
              <w:t>序号</w:t>
            </w:r>
          </w:p>
        </w:tc>
        <w:tc>
          <w:tcPr>
            <w:tcW w:w="1916" w:type="dxa"/>
            <w:shd w:val="clear" w:color="auto" w:fill="auto"/>
          </w:tcPr>
          <w:p>
            <w:pPr>
              <w:pStyle w:val="46"/>
              <w:spacing w:before="155" w:line="360" w:lineRule="auto"/>
              <w:ind w:left="454" w:right="447"/>
              <w:jc w:val="center"/>
              <w:rPr>
                <w:b/>
                <w:sz w:val="21"/>
                <w:szCs w:val="21"/>
                <w:lang w:eastAsia="en-US"/>
              </w:rPr>
            </w:pPr>
            <w:r>
              <w:rPr>
                <w:b/>
                <w:sz w:val="21"/>
                <w:szCs w:val="21"/>
                <w:lang w:eastAsia="en-US"/>
              </w:rPr>
              <w:t>商务条款</w:t>
            </w:r>
          </w:p>
        </w:tc>
        <w:tc>
          <w:tcPr>
            <w:tcW w:w="2497" w:type="dxa"/>
            <w:shd w:val="clear" w:color="auto" w:fill="auto"/>
          </w:tcPr>
          <w:p>
            <w:pPr>
              <w:pStyle w:val="46"/>
              <w:spacing w:before="155" w:line="360" w:lineRule="auto"/>
              <w:ind w:left="524"/>
              <w:rPr>
                <w:b/>
                <w:sz w:val="21"/>
                <w:szCs w:val="21"/>
                <w:lang w:eastAsia="en-US"/>
              </w:rPr>
            </w:pPr>
            <w:r>
              <w:rPr>
                <w:b/>
                <w:sz w:val="21"/>
                <w:szCs w:val="21"/>
                <w:lang w:eastAsia="en-US"/>
              </w:rPr>
              <w:t>磋商文件要求</w:t>
            </w:r>
          </w:p>
        </w:tc>
        <w:tc>
          <w:tcPr>
            <w:tcW w:w="2576" w:type="dxa"/>
            <w:shd w:val="clear" w:color="auto" w:fill="auto"/>
          </w:tcPr>
          <w:p>
            <w:pPr>
              <w:pStyle w:val="46"/>
              <w:spacing w:before="155" w:line="360" w:lineRule="auto"/>
              <w:ind w:left="682"/>
              <w:rPr>
                <w:b/>
                <w:sz w:val="21"/>
                <w:szCs w:val="21"/>
                <w:lang w:eastAsia="en-US"/>
              </w:rPr>
            </w:pPr>
            <w:r>
              <w:rPr>
                <w:b/>
                <w:sz w:val="21"/>
                <w:szCs w:val="21"/>
                <w:lang w:eastAsia="en-US"/>
              </w:rPr>
              <w:t>供应商承诺</w:t>
            </w:r>
          </w:p>
        </w:tc>
        <w:tc>
          <w:tcPr>
            <w:tcW w:w="811" w:type="dxa"/>
            <w:shd w:val="clear" w:color="auto" w:fill="auto"/>
          </w:tcPr>
          <w:p>
            <w:pPr>
              <w:pStyle w:val="46"/>
              <w:spacing w:line="360" w:lineRule="auto"/>
              <w:ind w:left="161"/>
              <w:rPr>
                <w:b/>
                <w:sz w:val="21"/>
                <w:szCs w:val="21"/>
                <w:lang w:eastAsia="en-US"/>
              </w:rPr>
            </w:pPr>
            <w:r>
              <w:rPr>
                <w:b/>
                <w:sz w:val="21"/>
                <w:szCs w:val="21"/>
                <w:lang w:eastAsia="en-US"/>
              </w:rPr>
              <w:t>偏离</w:t>
            </w:r>
          </w:p>
          <w:p>
            <w:pPr>
              <w:pStyle w:val="46"/>
              <w:spacing w:before="4" w:line="360" w:lineRule="auto"/>
              <w:ind w:left="161"/>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tcPr>
          <w:p>
            <w:pPr>
              <w:pStyle w:val="46"/>
              <w:spacing w:before="71" w:line="360" w:lineRule="auto"/>
              <w:ind w:left="9"/>
              <w:jc w:val="center"/>
              <w:rPr>
                <w:sz w:val="21"/>
                <w:szCs w:val="21"/>
                <w:lang w:eastAsia="en-US"/>
              </w:rPr>
            </w:pPr>
            <w:r>
              <w:rPr>
                <w:sz w:val="21"/>
                <w:szCs w:val="21"/>
                <w:lang w:eastAsia="en-US"/>
              </w:rPr>
              <w:t>1</w:t>
            </w:r>
          </w:p>
        </w:tc>
        <w:tc>
          <w:tcPr>
            <w:tcW w:w="1916" w:type="dxa"/>
            <w:shd w:val="clear" w:color="auto" w:fill="auto"/>
          </w:tcPr>
          <w:p>
            <w:pPr>
              <w:pStyle w:val="46"/>
              <w:spacing w:before="71" w:line="360" w:lineRule="auto"/>
              <w:ind w:left="454" w:right="446"/>
              <w:jc w:val="center"/>
              <w:rPr>
                <w:sz w:val="21"/>
                <w:szCs w:val="21"/>
                <w:lang w:eastAsia="en-US"/>
              </w:rPr>
            </w:pPr>
            <w:r>
              <w:rPr>
                <w:sz w:val="21"/>
                <w:szCs w:val="21"/>
                <w:lang w:eastAsia="en-US"/>
              </w:rPr>
              <w:t>付款方式</w:t>
            </w:r>
          </w:p>
        </w:tc>
        <w:tc>
          <w:tcPr>
            <w:tcW w:w="2497" w:type="dxa"/>
            <w:shd w:val="clear" w:color="auto" w:fill="auto"/>
          </w:tcPr>
          <w:p>
            <w:pPr>
              <w:pStyle w:val="46"/>
              <w:spacing w:line="360" w:lineRule="auto"/>
              <w:rPr>
                <w:sz w:val="21"/>
                <w:szCs w:val="21"/>
                <w:lang w:eastAsia="en-US"/>
              </w:rPr>
            </w:pPr>
          </w:p>
        </w:tc>
        <w:tc>
          <w:tcPr>
            <w:tcW w:w="2576" w:type="dxa"/>
            <w:shd w:val="clear" w:color="auto" w:fill="auto"/>
          </w:tcPr>
          <w:p>
            <w:pPr>
              <w:pStyle w:val="46"/>
              <w:spacing w:line="360" w:lineRule="auto"/>
              <w:rPr>
                <w:sz w:val="21"/>
                <w:szCs w:val="21"/>
                <w:lang w:eastAsia="en-US"/>
              </w:rPr>
            </w:pPr>
          </w:p>
        </w:tc>
        <w:tc>
          <w:tcPr>
            <w:tcW w:w="811" w:type="dxa"/>
            <w:shd w:val="clear" w:color="auto" w:fill="auto"/>
          </w:tcPr>
          <w:p>
            <w:pPr>
              <w:pStyle w:val="46"/>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shd w:val="clear" w:color="auto" w:fill="auto"/>
          </w:tcPr>
          <w:p>
            <w:pPr>
              <w:pStyle w:val="46"/>
              <w:spacing w:before="72" w:line="360" w:lineRule="auto"/>
              <w:ind w:left="9"/>
              <w:jc w:val="center"/>
              <w:rPr>
                <w:sz w:val="21"/>
                <w:szCs w:val="21"/>
                <w:lang w:eastAsia="en-US"/>
              </w:rPr>
            </w:pPr>
            <w:r>
              <w:rPr>
                <w:sz w:val="21"/>
                <w:szCs w:val="21"/>
                <w:lang w:eastAsia="en-US"/>
              </w:rPr>
              <w:t>2</w:t>
            </w:r>
          </w:p>
        </w:tc>
        <w:tc>
          <w:tcPr>
            <w:tcW w:w="1916" w:type="dxa"/>
            <w:shd w:val="clear" w:color="auto" w:fill="auto"/>
          </w:tcPr>
          <w:p>
            <w:pPr>
              <w:pStyle w:val="46"/>
              <w:spacing w:before="72" w:line="360" w:lineRule="auto"/>
              <w:ind w:left="454" w:right="446"/>
              <w:jc w:val="center"/>
              <w:rPr>
                <w:sz w:val="21"/>
                <w:szCs w:val="21"/>
                <w:lang w:eastAsia="en-US"/>
              </w:rPr>
            </w:pPr>
            <w:r>
              <w:rPr>
                <w:sz w:val="21"/>
                <w:szCs w:val="21"/>
                <w:lang w:eastAsia="en-US"/>
              </w:rPr>
              <w:t>服务地点</w:t>
            </w:r>
          </w:p>
        </w:tc>
        <w:tc>
          <w:tcPr>
            <w:tcW w:w="2497" w:type="dxa"/>
            <w:shd w:val="clear" w:color="auto" w:fill="auto"/>
          </w:tcPr>
          <w:p>
            <w:pPr>
              <w:pStyle w:val="46"/>
              <w:spacing w:line="360" w:lineRule="auto"/>
              <w:rPr>
                <w:sz w:val="21"/>
                <w:szCs w:val="21"/>
                <w:lang w:eastAsia="en-US"/>
              </w:rPr>
            </w:pPr>
          </w:p>
        </w:tc>
        <w:tc>
          <w:tcPr>
            <w:tcW w:w="2576" w:type="dxa"/>
            <w:shd w:val="clear" w:color="auto" w:fill="auto"/>
          </w:tcPr>
          <w:p>
            <w:pPr>
              <w:pStyle w:val="46"/>
              <w:spacing w:line="360" w:lineRule="auto"/>
              <w:rPr>
                <w:sz w:val="21"/>
                <w:szCs w:val="21"/>
                <w:lang w:eastAsia="en-US"/>
              </w:rPr>
            </w:pPr>
          </w:p>
        </w:tc>
        <w:tc>
          <w:tcPr>
            <w:tcW w:w="811" w:type="dxa"/>
            <w:shd w:val="clear" w:color="auto" w:fill="auto"/>
          </w:tcPr>
          <w:p>
            <w:pPr>
              <w:pStyle w:val="46"/>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tcPr>
          <w:p>
            <w:pPr>
              <w:pStyle w:val="46"/>
              <w:spacing w:before="71" w:line="360" w:lineRule="auto"/>
              <w:ind w:left="9"/>
              <w:jc w:val="center"/>
              <w:rPr>
                <w:sz w:val="21"/>
                <w:szCs w:val="21"/>
                <w:lang w:eastAsia="en-US"/>
              </w:rPr>
            </w:pPr>
            <w:r>
              <w:rPr>
                <w:sz w:val="21"/>
                <w:szCs w:val="21"/>
                <w:lang w:eastAsia="en-US"/>
              </w:rPr>
              <w:t>3</w:t>
            </w:r>
          </w:p>
        </w:tc>
        <w:tc>
          <w:tcPr>
            <w:tcW w:w="1916" w:type="dxa"/>
            <w:shd w:val="clear" w:color="auto" w:fill="auto"/>
          </w:tcPr>
          <w:p>
            <w:pPr>
              <w:pStyle w:val="46"/>
              <w:spacing w:before="71" w:line="360" w:lineRule="auto"/>
              <w:ind w:left="454" w:right="446"/>
              <w:jc w:val="center"/>
              <w:rPr>
                <w:sz w:val="21"/>
                <w:szCs w:val="21"/>
                <w:lang w:eastAsia="en-US"/>
              </w:rPr>
            </w:pPr>
            <w:r>
              <w:rPr>
                <w:sz w:val="21"/>
                <w:szCs w:val="21"/>
                <w:lang w:eastAsia="en-US"/>
              </w:rPr>
              <w:t>服务期限</w:t>
            </w:r>
          </w:p>
        </w:tc>
        <w:tc>
          <w:tcPr>
            <w:tcW w:w="2497" w:type="dxa"/>
            <w:shd w:val="clear" w:color="auto" w:fill="auto"/>
          </w:tcPr>
          <w:p>
            <w:pPr>
              <w:pStyle w:val="46"/>
              <w:spacing w:line="360" w:lineRule="auto"/>
              <w:rPr>
                <w:sz w:val="21"/>
                <w:szCs w:val="21"/>
                <w:lang w:eastAsia="en-US"/>
              </w:rPr>
            </w:pPr>
          </w:p>
        </w:tc>
        <w:tc>
          <w:tcPr>
            <w:tcW w:w="2576" w:type="dxa"/>
            <w:shd w:val="clear" w:color="auto" w:fill="auto"/>
          </w:tcPr>
          <w:p>
            <w:pPr>
              <w:pStyle w:val="46"/>
              <w:spacing w:line="360" w:lineRule="auto"/>
              <w:rPr>
                <w:sz w:val="21"/>
                <w:szCs w:val="21"/>
                <w:lang w:eastAsia="en-US"/>
              </w:rPr>
            </w:pPr>
          </w:p>
        </w:tc>
        <w:tc>
          <w:tcPr>
            <w:tcW w:w="811" w:type="dxa"/>
            <w:shd w:val="clear" w:color="auto" w:fill="auto"/>
          </w:tcPr>
          <w:p>
            <w:pPr>
              <w:pStyle w:val="46"/>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shd w:val="clear" w:color="auto" w:fill="auto"/>
          </w:tcPr>
          <w:p>
            <w:pPr>
              <w:pStyle w:val="46"/>
              <w:spacing w:before="72" w:line="360" w:lineRule="auto"/>
              <w:ind w:left="9"/>
              <w:jc w:val="center"/>
              <w:rPr>
                <w:sz w:val="21"/>
                <w:szCs w:val="21"/>
                <w:lang w:eastAsia="en-US"/>
              </w:rPr>
            </w:pPr>
            <w:r>
              <w:rPr>
                <w:w w:val="200"/>
                <w:sz w:val="21"/>
                <w:szCs w:val="21"/>
                <w:lang w:eastAsia="en-US"/>
              </w:rPr>
              <w:t>„</w:t>
            </w:r>
          </w:p>
        </w:tc>
        <w:tc>
          <w:tcPr>
            <w:tcW w:w="1916" w:type="dxa"/>
            <w:shd w:val="clear" w:color="auto" w:fill="auto"/>
          </w:tcPr>
          <w:p>
            <w:pPr>
              <w:pStyle w:val="46"/>
              <w:spacing w:line="360" w:lineRule="auto"/>
              <w:rPr>
                <w:sz w:val="21"/>
                <w:szCs w:val="21"/>
                <w:lang w:eastAsia="en-US"/>
              </w:rPr>
            </w:pPr>
          </w:p>
        </w:tc>
        <w:tc>
          <w:tcPr>
            <w:tcW w:w="2497" w:type="dxa"/>
            <w:shd w:val="clear" w:color="auto" w:fill="auto"/>
          </w:tcPr>
          <w:p>
            <w:pPr>
              <w:pStyle w:val="46"/>
              <w:spacing w:line="360" w:lineRule="auto"/>
              <w:rPr>
                <w:sz w:val="21"/>
                <w:szCs w:val="21"/>
                <w:lang w:eastAsia="en-US"/>
              </w:rPr>
            </w:pPr>
          </w:p>
        </w:tc>
        <w:tc>
          <w:tcPr>
            <w:tcW w:w="2576" w:type="dxa"/>
            <w:shd w:val="clear" w:color="auto" w:fill="auto"/>
          </w:tcPr>
          <w:p>
            <w:pPr>
              <w:pStyle w:val="46"/>
              <w:spacing w:line="360" w:lineRule="auto"/>
              <w:rPr>
                <w:sz w:val="21"/>
                <w:szCs w:val="21"/>
                <w:lang w:eastAsia="en-US"/>
              </w:rPr>
            </w:pPr>
          </w:p>
        </w:tc>
        <w:tc>
          <w:tcPr>
            <w:tcW w:w="811" w:type="dxa"/>
            <w:shd w:val="clear" w:color="auto" w:fill="auto"/>
          </w:tcPr>
          <w:p>
            <w:pPr>
              <w:pStyle w:val="46"/>
              <w:spacing w:line="360" w:lineRule="auto"/>
              <w:rPr>
                <w:sz w:val="21"/>
                <w:szCs w:val="21"/>
                <w:lang w:eastAsia="en-US"/>
              </w:rPr>
            </w:pPr>
          </w:p>
        </w:tc>
      </w:tr>
    </w:tbl>
    <w:p>
      <w:pPr>
        <w:spacing w:line="360" w:lineRule="auto"/>
        <w:rPr>
          <w:rFonts w:ascii="宋体" w:hAnsi="宋体"/>
        </w:rPr>
        <w:sectPr>
          <w:pgSz w:w="11910" w:h="16840"/>
          <w:pgMar w:top="1400" w:right="1440" w:bottom="1220" w:left="1580" w:header="877" w:footer="1033" w:gutter="0"/>
          <w:pgNumType w:fmt="decimal"/>
          <w:cols w:space="720" w:num="1"/>
        </w:sectPr>
      </w:pPr>
    </w:p>
    <w:p>
      <w:pPr>
        <w:spacing w:before="240" w:beforeLines="100" w:after="240" w:afterLines="100"/>
        <w:jc w:val="center"/>
        <w:outlineLvl w:val="2"/>
        <w:rPr>
          <w:b/>
          <w:sz w:val="28"/>
          <w:szCs w:val="28"/>
        </w:rPr>
      </w:pPr>
      <w:r>
        <w:rPr>
          <w:rFonts w:hint="eastAsia"/>
          <w:b/>
          <w:sz w:val="28"/>
          <w:szCs w:val="28"/>
          <w:lang w:val="en-US" w:eastAsia="zh-CN"/>
        </w:rPr>
        <w:t>五</w:t>
      </w:r>
      <w:r>
        <w:rPr>
          <w:b/>
          <w:sz w:val="28"/>
          <w:szCs w:val="28"/>
        </w:rPr>
        <w:t>、</w:t>
      </w:r>
      <w:r>
        <w:rPr>
          <w:rFonts w:hint="eastAsia"/>
          <w:b/>
          <w:sz w:val="28"/>
          <w:szCs w:val="28"/>
        </w:rPr>
        <w:t>人员配备（格式自拟）</w:t>
      </w:r>
    </w:p>
    <w:p>
      <w:pPr>
        <w:rPr>
          <w:rFonts w:ascii="宋体" w:hAnsi="宋体"/>
          <w:b/>
        </w:rPr>
      </w:pPr>
    </w:p>
    <w:p>
      <w:pPr>
        <w:spacing w:line="360" w:lineRule="auto"/>
        <w:rPr>
          <w:rFonts w:ascii="宋体" w:hAnsi="宋体"/>
        </w:rPr>
        <w:sectPr>
          <w:pgSz w:w="11910" w:h="16840"/>
          <w:pgMar w:top="1400" w:right="1440" w:bottom="1220" w:left="1580" w:header="877" w:footer="1033" w:gutter="0"/>
          <w:pgNumType w:fmt="decimal"/>
          <w:cols w:space="720" w:num="1"/>
        </w:sectPr>
      </w:pPr>
    </w:p>
    <w:p>
      <w:pPr>
        <w:spacing w:before="240" w:beforeLines="100" w:after="240" w:afterLines="100"/>
        <w:jc w:val="center"/>
        <w:outlineLvl w:val="2"/>
        <w:rPr>
          <w:rFonts w:hint="default"/>
          <w:b/>
          <w:sz w:val="28"/>
          <w:szCs w:val="28"/>
          <w:lang w:val="en-US" w:eastAsia="zh-CN"/>
        </w:rPr>
      </w:pPr>
      <w:r>
        <w:rPr>
          <w:rFonts w:hint="eastAsia"/>
          <w:b/>
          <w:sz w:val="28"/>
          <w:szCs w:val="28"/>
          <w:lang w:val="en-US" w:eastAsia="zh-CN"/>
        </w:rPr>
        <w:t>六、服务方案（格式自拟）</w:t>
      </w:r>
    </w:p>
    <w:p>
      <w:pPr>
        <w:rPr>
          <w:rFonts w:hint="eastAsia"/>
          <w:b/>
          <w:sz w:val="28"/>
          <w:szCs w:val="28"/>
          <w:lang w:val="en-US" w:eastAsia="zh-CN"/>
        </w:rPr>
      </w:pPr>
      <w:r>
        <w:rPr>
          <w:rFonts w:hint="eastAsia"/>
          <w:b/>
          <w:sz w:val="28"/>
          <w:szCs w:val="28"/>
          <w:lang w:val="en-US" w:eastAsia="zh-CN"/>
        </w:rPr>
        <w:br w:type="page"/>
      </w:r>
    </w:p>
    <w:p>
      <w:pPr>
        <w:spacing w:before="240" w:beforeLines="100" w:after="240" w:afterLines="100"/>
        <w:jc w:val="center"/>
        <w:outlineLvl w:val="2"/>
        <w:rPr>
          <w:b/>
          <w:sz w:val="28"/>
          <w:szCs w:val="28"/>
        </w:rPr>
      </w:pPr>
      <w:r>
        <w:rPr>
          <w:rFonts w:hint="eastAsia"/>
          <w:b/>
          <w:sz w:val="28"/>
          <w:szCs w:val="28"/>
          <w:lang w:val="en-US" w:eastAsia="zh-CN"/>
        </w:rPr>
        <w:t>七</w:t>
      </w:r>
      <w:r>
        <w:rPr>
          <w:b/>
          <w:sz w:val="28"/>
          <w:szCs w:val="28"/>
        </w:rPr>
        <w:t>、其他相关证明材料</w:t>
      </w:r>
    </w:p>
    <w:p>
      <w:pPr>
        <w:pStyle w:val="2"/>
        <w:spacing w:before="160" w:line="360" w:lineRule="auto"/>
        <w:ind w:left="220" w:right="361" w:firstLine="479"/>
        <w:rPr>
          <w:sz w:val="21"/>
          <w:szCs w:val="21"/>
        </w:rPr>
      </w:pPr>
      <w:r>
        <w:rPr>
          <w:sz w:val="21"/>
          <w:szCs w:val="21"/>
        </w:rPr>
        <w:t>提供符合磋商邀请（磋商公告</w:t>
      </w:r>
      <w:r>
        <w:rPr>
          <w:spacing w:val="-118"/>
          <w:sz w:val="21"/>
          <w:szCs w:val="21"/>
        </w:rPr>
        <w:t>）</w:t>
      </w:r>
      <w:r>
        <w:rPr>
          <w:spacing w:val="-1"/>
          <w:sz w:val="21"/>
          <w:szCs w:val="21"/>
        </w:rPr>
        <w:t>、采购需求及评审方法和标准规定的相关证</w:t>
      </w:r>
      <w:r>
        <w:rPr>
          <w:sz w:val="21"/>
          <w:szCs w:val="21"/>
        </w:rPr>
        <w:t>明文件。</w:t>
      </w:r>
    </w:p>
    <w:p>
      <w:pPr>
        <w:pStyle w:val="2"/>
        <w:spacing w:line="360" w:lineRule="auto"/>
        <w:rPr>
          <w:sz w:val="21"/>
          <w:szCs w:val="21"/>
        </w:rPr>
      </w:pPr>
    </w:p>
    <w:p>
      <w:pPr>
        <w:pStyle w:val="2"/>
        <w:spacing w:line="360" w:lineRule="auto"/>
        <w:rPr>
          <w:sz w:val="21"/>
          <w:szCs w:val="21"/>
        </w:rPr>
      </w:pPr>
    </w:p>
    <w:p>
      <w:pPr>
        <w:pStyle w:val="2"/>
        <w:spacing w:before="2" w:line="360" w:lineRule="auto"/>
        <w:rPr>
          <w:b/>
          <w:sz w:val="28"/>
          <w:szCs w:val="28"/>
        </w:rPr>
      </w:pPr>
    </w:p>
    <w:p>
      <w:pPr>
        <w:spacing w:line="360" w:lineRule="auto"/>
        <w:rPr>
          <w:rFonts w:ascii="宋体" w:hAnsi="宋体"/>
        </w:rPr>
      </w:pPr>
    </w:p>
    <w:p>
      <w:pPr>
        <w:widowControl/>
        <w:spacing w:line="360" w:lineRule="auto"/>
        <w:jc w:val="left"/>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FA78B"/>
    <w:multiLevelType w:val="singleLevel"/>
    <w:tmpl w:val="B79FA78B"/>
    <w:lvl w:ilvl="0" w:tentative="0">
      <w:start w:val="1"/>
      <w:numFmt w:val="chineseCounting"/>
      <w:suff w:val="space"/>
      <w:lvlText w:val="第%1章"/>
      <w:lvlJc w:val="left"/>
      <w:rPr>
        <w:rFonts w:hint="eastAsia"/>
      </w:rPr>
    </w:lvl>
  </w:abstractNum>
  <w:abstractNum w:abstractNumId="1">
    <w:nsid w:val="09967DBD"/>
    <w:multiLevelType w:val="multilevel"/>
    <w:tmpl w:val="09967DBD"/>
    <w:lvl w:ilvl="0" w:tentative="0">
      <w:start w:val="1"/>
      <w:numFmt w:val="decimal"/>
      <w:lvlText w:val="（%1）"/>
      <w:lvlJc w:val="left"/>
      <w:pPr>
        <w:ind w:left="70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1175" w:hanging="601"/>
      </w:pPr>
      <w:rPr>
        <w:rFonts w:hint="default"/>
        <w:lang w:val="zh-CN" w:eastAsia="zh-CN" w:bidi="zh-CN"/>
      </w:rPr>
    </w:lvl>
    <w:lvl w:ilvl="2" w:tentative="0">
      <w:start w:val="0"/>
      <w:numFmt w:val="bullet"/>
      <w:lvlText w:val="•"/>
      <w:lvlJc w:val="left"/>
      <w:pPr>
        <w:ind w:left="1651" w:hanging="601"/>
      </w:pPr>
      <w:rPr>
        <w:rFonts w:hint="default"/>
        <w:lang w:val="zh-CN" w:eastAsia="zh-CN" w:bidi="zh-CN"/>
      </w:rPr>
    </w:lvl>
    <w:lvl w:ilvl="3" w:tentative="0">
      <w:start w:val="0"/>
      <w:numFmt w:val="bullet"/>
      <w:lvlText w:val="•"/>
      <w:lvlJc w:val="left"/>
      <w:pPr>
        <w:ind w:left="2127" w:hanging="601"/>
      </w:pPr>
      <w:rPr>
        <w:rFonts w:hint="default"/>
        <w:lang w:val="zh-CN" w:eastAsia="zh-CN" w:bidi="zh-CN"/>
      </w:rPr>
    </w:lvl>
    <w:lvl w:ilvl="4" w:tentative="0">
      <w:start w:val="0"/>
      <w:numFmt w:val="bullet"/>
      <w:lvlText w:val="•"/>
      <w:lvlJc w:val="left"/>
      <w:pPr>
        <w:ind w:left="2603" w:hanging="601"/>
      </w:pPr>
      <w:rPr>
        <w:rFonts w:hint="default"/>
        <w:lang w:val="zh-CN" w:eastAsia="zh-CN" w:bidi="zh-CN"/>
      </w:rPr>
    </w:lvl>
    <w:lvl w:ilvl="5" w:tentative="0">
      <w:start w:val="0"/>
      <w:numFmt w:val="bullet"/>
      <w:lvlText w:val="•"/>
      <w:lvlJc w:val="left"/>
      <w:pPr>
        <w:ind w:left="3079" w:hanging="601"/>
      </w:pPr>
      <w:rPr>
        <w:rFonts w:hint="default"/>
        <w:lang w:val="zh-CN" w:eastAsia="zh-CN" w:bidi="zh-CN"/>
      </w:rPr>
    </w:lvl>
    <w:lvl w:ilvl="6" w:tentative="0">
      <w:start w:val="0"/>
      <w:numFmt w:val="bullet"/>
      <w:lvlText w:val="•"/>
      <w:lvlJc w:val="left"/>
      <w:pPr>
        <w:ind w:left="3554" w:hanging="601"/>
      </w:pPr>
      <w:rPr>
        <w:rFonts w:hint="default"/>
        <w:lang w:val="zh-CN" w:eastAsia="zh-CN" w:bidi="zh-CN"/>
      </w:rPr>
    </w:lvl>
    <w:lvl w:ilvl="7" w:tentative="0">
      <w:start w:val="0"/>
      <w:numFmt w:val="bullet"/>
      <w:lvlText w:val="•"/>
      <w:lvlJc w:val="left"/>
      <w:pPr>
        <w:ind w:left="4030" w:hanging="601"/>
      </w:pPr>
      <w:rPr>
        <w:rFonts w:hint="default"/>
        <w:lang w:val="zh-CN" w:eastAsia="zh-CN" w:bidi="zh-CN"/>
      </w:rPr>
    </w:lvl>
    <w:lvl w:ilvl="8" w:tentative="0">
      <w:start w:val="0"/>
      <w:numFmt w:val="bullet"/>
      <w:lvlText w:val="•"/>
      <w:lvlJc w:val="left"/>
      <w:pPr>
        <w:ind w:left="4506" w:hanging="601"/>
      </w:pPr>
      <w:rPr>
        <w:rFonts w:hint="default"/>
        <w:lang w:val="zh-CN" w:eastAsia="zh-CN" w:bidi="zh-CN"/>
      </w:rPr>
    </w:lvl>
  </w:abstractNum>
  <w:abstractNum w:abstractNumId="2">
    <w:nsid w:val="0C8152D1"/>
    <w:multiLevelType w:val="multilevel"/>
    <w:tmpl w:val="0C8152D1"/>
    <w:lvl w:ilvl="0" w:tentative="0">
      <w:start w:val="29"/>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3">
    <w:nsid w:val="0C844962"/>
    <w:multiLevelType w:val="multilevel"/>
    <w:tmpl w:val="0C844962"/>
    <w:lvl w:ilvl="0" w:tentative="0">
      <w:start w:val="9"/>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1805" w:hanging="420"/>
      </w:pPr>
      <w:rPr>
        <w:rFonts w:hint="default"/>
        <w:lang w:val="zh-CN" w:eastAsia="zh-CN" w:bidi="zh-CN"/>
      </w:rPr>
    </w:lvl>
    <w:lvl w:ilvl="3" w:tentative="0">
      <w:start w:val="0"/>
      <w:numFmt w:val="bullet"/>
      <w:lvlText w:val="•"/>
      <w:lvlJc w:val="left"/>
      <w:pPr>
        <w:ind w:left="2690" w:hanging="420"/>
      </w:pPr>
      <w:rPr>
        <w:rFonts w:hint="default"/>
        <w:lang w:val="zh-CN" w:eastAsia="zh-CN" w:bidi="zh-CN"/>
      </w:rPr>
    </w:lvl>
    <w:lvl w:ilvl="4" w:tentative="0">
      <w:start w:val="0"/>
      <w:numFmt w:val="bullet"/>
      <w:lvlText w:val="•"/>
      <w:lvlJc w:val="left"/>
      <w:pPr>
        <w:ind w:left="3575" w:hanging="420"/>
      </w:pPr>
      <w:rPr>
        <w:rFonts w:hint="default"/>
        <w:lang w:val="zh-CN" w:eastAsia="zh-CN" w:bidi="zh-CN"/>
      </w:rPr>
    </w:lvl>
    <w:lvl w:ilvl="5" w:tentative="0">
      <w:start w:val="0"/>
      <w:numFmt w:val="bullet"/>
      <w:lvlText w:val="•"/>
      <w:lvlJc w:val="left"/>
      <w:pPr>
        <w:ind w:left="4460" w:hanging="420"/>
      </w:pPr>
      <w:rPr>
        <w:rFonts w:hint="default"/>
        <w:lang w:val="zh-CN" w:eastAsia="zh-CN" w:bidi="zh-CN"/>
      </w:rPr>
    </w:lvl>
    <w:lvl w:ilvl="6" w:tentative="0">
      <w:start w:val="0"/>
      <w:numFmt w:val="bullet"/>
      <w:lvlText w:val="•"/>
      <w:lvlJc w:val="left"/>
      <w:pPr>
        <w:ind w:left="5345" w:hanging="420"/>
      </w:pPr>
      <w:rPr>
        <w:rFonts w:hint="default"/>
        <w:lang w:val="zh-CN" w:eastAsia="zh-CN" w:bidi="zh-CN"/>
      </w:rPr>
    </w:lvl>
    <w:lvl w:ilvl="7" w:tentative="0">
      <w:start w:val="0"/>
      <w:numFmt w:val="bullet"/>
      <w:lvlText w:val="•"/>
      <w:lvlJc w:val="left"/>
      <w:pPr>
        <w:ind w:left="6230" w:hanging="420"/>
      </w:pPr>
      <w:rPr>
        <w:rFonts w:hint="default"/>
        <w:lang w:val="zh-CN" w:eastAsia="zh-CN" w:bidi="zh-CN"/>
      </w:rPr>
    </w:lvl>
    <w:lvl w:ilvl="8" w:tentative="0">
      <w:start w:val="0"/>
      <w:numFmt w:val="bullet"/>
      <w:lvlText w:val="•"/>
      <w:lvlJc w:val="left"/>
      <w:pPr>
        <w:ind w:left="7116" w:hanging="420"/>
      </w:pPr>
      <w:rPr>
        <w:rFonts w:hint="default"/>
        <w:lang w:val="zh-CN" w:eastAsia="zh-CN" w:bidi="zh-CN"/>
      </w:rPr>
    </w:lvl>
  </w:abstractNum>
  <w:abstractNum w:abstractNumId="4">
    <w:nsid w:val="12DB0CB1"/>
    <w:multiLevelType w:val="multilevel"/>
    <w:tmpl w:val="12DB0CB1"/>
    <w:lvl w:ilvl="0" w:tentative="0">
      <w:start w:val="3"/>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420"/>
      </w:pPr>
      <w:rPr>
        <w:rFonts w:hint="default" w:ascii="宋体" w:hAnsi="宋体" w:eastAsia="宋体" w:cs="宋体"/>
        <w:w w:val="100"/>
        <w:sz w:val="24"/>
        <w:szCs w:val="24"/>
        <w:lang w:val="zh-CN" w:eastAsia="zh-CN" w:bidi="zh-CN"/>
      </w:rPr>
    </w:lvl>
    <w:lvl w:ilvl="2" w:tentative="0">
      <w:start w:val="1"/>
      <w:numFmt w:val="decimal"/>
      <w:lvlText w:val="%1.%2.%3"/>
      <w:lvlJc w:val="left"/>
      <w:pPr>
        <w:ind w:left="23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1320" w:hanging="660"/>
      </w:pPr>
      <w:rPr>
        <w:rFonts w:hint="default"/>
        <w:lang w:val="zh-CN" w:eastAsia="zh-CN" w:bidi="zh-CN"/>
      </w:rPr>
    </w:lvl>
    <w:lvl w:ilvl="4" w:tentative="0">
      <w:start w:val="0"/>
      <w:numFmt w:val="bullet"/>
      <w:lvlText w:val="•"/>
      <w:lvlJc w:val="left"/>
      <w:pPr>
        <w:ind w:left="2400" w:hanging="660"/>
      </w:pPr>
      <w:rPr>
        <w:rFonts w:hint="default"/>
        <w:lang w:val="zh-CN" w:eastAsia="zh-CN" w:bidi="zh-CN"/>
      </w:rPr>
    </w:lvl>
    <w:lvl w:ilvl="5" w:tentative="0">
      <w:start w:val="0"/>
      <w:numFmt w:val="bullet"/>
      <w:lvlText w:val="•"/>
      <w:lvlJc w:val="left"/>
      <w:pPr>
        <w:ind w:left="3481" w:hanging="660"/>
      </w:pPr>
      <w:rPr>
        <w:rFonts w:hint="default"/>
        <w:lang w:val="zh-CN" w:eastAsia="zh-CN" w:bidi="zh-CN"/>
      </w:rPr>
    </w:lvl>
    <w:lvl w:ilvl="6" w:tentative="0">
      <w:start w:val="0"/>
      <w:numFmt w:val="bullet"/>
      <w:lvlText w:val="•"/>
      <w:lvlJc w:val="left"/>
      <w:pPr>
        <w:ind w:left="4562" w:hanging="660"/>
      </w:pPr>
      <w:rPr>
        <w:rFonts w:hint="default"/>
        <w:lang w:val="zh-CN" w:eastAsia="zh-CN" w:bidi="zh-CN"/>
      </w:rPr>
    </w:lvl>
    <w:lvl w:ilvl="7" w:tentative="0">
      <w:start w:val="0"/>
      <w:numFmt w:val="bullet"/>
      <w:lvlText w:val="•"/>
      <w:lvlJc w:val="left"/>
      <w:pPr>
        <w:ind w:left="5643" w:hanging="660"/>
      </w:pPr>
      <w:rPr>
        <w:rFonts w:hint="default"/>
        <w:lang w:val="zh-CN" w:eastAsia="zh-CN" w:bidi="zh-CN"/>
      </w:rPr>
    </w:lvl>
    <w:lvl w:ilvl="8" w:tentative="0">
      <w:start w:val="0"/>
      <w:numFmt w:val="bullet"/>
      <w:lvlText w:val="•"/>
      <w:lvlJc w:val="left"/>
      <w:pPr>
        <w:ind w:left="6724" w:hanging="660"/>
      </w:pPr>
      <w:rPr>
        <w:rFonts w:hint="default"/>
        <w:lang w:val="zh-CN" w:eastAsia="zh-CN" w:bidi="zh-CN"/>
      </w:rPr>
    </w:lvl>
  </w:abstractNum>
  <w:abstractNum w:abstractNumId="5">
    <w:nsid w:val="184C3E02"/>
    <w:multiLevelType w:val="multilevel"/>
    <w:tmpl w:val="184C3E02"/>
    <w:lvl w:ilvl="0" w:tentative="0">
      <w:start w:val="14"/>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6">
    <w:nsid w:val="18D60C56"/>
    <w:multiLevelType w:val="multilevel"/>
    <w:tmpl w:val="18D60C56"/>
    <w:lvl w:ilvl="0" w:tentative="0">
      <w:start w:val="31"/>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671"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540"/>
      </w:pPr>
      <w:rPr>
        <w:rFonts w:hint="default"/>
        <w:lang w:val="zh-CN" w:eastAsia="zh-CN" w:bidi="zh-CN"/>
      </w:rPr>
    </w:lvl>
    <w:lvl w:ilvl="3" w:tentative="0">
      <w:start w:val="0"/>
      <w:numFmt w:val="bullet"/>
      <w:lvlText w:val="•"/>
      <w:lvlJc w:val="left"/>
      <w:pPr>
        <w:ind w:left="2783" w:hanging="540"/>
      </w:pPr>
      <w:rPr>
        <w:rFonts w:hint="default"/>
        <w:lang w:val="zh-CN" w:eastAsia="zh-CN" w:bidi="zh-CN"/>
      </w:rPr>
    </w:lvl>
    <w:lvl w:ilvl="4" w:tentative="0">
      <w:start w:val="0"/>
      <w:numFmt w:val="bullet"/>
      <w:lvlText w:val="•"/>
      <w:lvlJc w:val="left"/>
      <w:pPr>
        <w:ind w:left="3655" w:hanging="540"/>
      </w:pPr>
      <w:rPr>
        <w:rFonts w:hint="default"/>
        <w:lang w:val="zh-CN" w:eastAsia="zh-CN" w:bidi="zh-CN"/>
      </w:rPr>
    </w:lvl>
    <w:lvl w:ilvl="5" w:tentative="0">
      <w:start w:val="0"/>
      <w:numFmt w:val="bullet"/>
      <w:lvlText w:val="•"/>
      <w:lvlJc w:val="left"/>
      <w:pPr>
        <w:ind w:left="4527" w:hanging="540"/>
      </w:pPr>
      <w:rPr>
        <w:rFonts w:hint="default"/>
        <w:lang w:val="zh-CN" w:eastAsia="zh-CN" w:bidi="zh-CN"/>
      </w:rPr>
    </w:lvl>
    <w:lvl w:ilvl="6" w:tentative="0">
      <w:start w:val="0"/>
      <w:numFmt w:val="bullet"/>
      <w:lvlText w:val="•"/>
      <w:lvlJc w:val="left"/>
      <w:pPr>
        <w:ind w:left="5399" w:hanging="540"/>
      </w:pPr>
      <w:rPr>
        <w:rFonts w:hint="default"/>
        <w:lang w:val="zh-CN" w:eastAsia="zh-CN" w:bidi="zh-CN"/>
      </w:rPr>
    </w:lvl>
    <w:lvl w:ilvl="7" w:tentative="0">
      <w:start w:val="0"/>
      <w:numFmt w:val="bullet"/>
      <w:lvlText w:val="•"/>
      <w:lvlJc w:val="left"/>
      <w:pPr>
        <w:ind w:left="6270" w:hanging="540"/>
      </w:pPr>
      <w:rPr>
        <w:rFonts w:hint="default"/>
        <w:lang w:val="zh-CN" w:eastAsia="zh-CN" w:bidi="zh-CN"/>
      </w:rPr>
    </w:lvl>
    <w:lvl w:ilvl="8" w:tentative="0">
      <w:start w:val="0"/>
      <w:numFmt w:val="bullet"/>
      <w:lvlText w:val="•"/>
      <w:lvlJc w:val="left"/>
      <w:pPr>
        <w:ind w:left="7142" w:hanging="540"/>
      </w:pPr>
      <w:rPr>
        <w:rFonts w:hint="default"/>
        <w:lang w:val="zh-CN" w:eastAsia="zh-CN" w:bidi="zh-CN"/>
      </w:rPr>
    </w:lvl>
  </w:abstractNum>
  <w:abstractNum w:abstractNumId="7">
    <w:nsid w:val="1C2E3577"/>
    <w:multiLevelType w:val="multilevel"/>
    <w:tmpl w:val="1C2E3577"/>
    <w:lvl w:ilvl="0" w:tentative="0">
      <w:start w:val="2"/>
      <w:numFmt w:val="decimal"/>
      <w:lvlText w:val="%1"/>
      <w:lvlJc w:val="left"/>
      <w:pPr>
        <w:ind w:left="234" w:hanging="483"/>
      </w:pPr>
      <w:rPr>
        <w:rFonts w:hint="default"/>
        <w:lang w:val="zh-CN" w:eastAsia="zh-CN" w:bidi="zh-CN"/>
      </w:rPr>
    </w:lvl>
    <w:lvl w:ilvl="1" w:tentative="0">
      <w:start w:val="1"/>
      <w:numFmt w:val="decimal"/>
      <w:lvlText w:val="%1.%2"/>
      <w:lvlJc w:val="left"/>
      <w:pPr>
        <w:ind w:left="234" w:hanging="48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483"/>
      </w:pPr>
      <w:rPr>
        <w:rFonts w:hint="default"/>
        <w:lang w:val="zh-CN" w:eastAsia="zh-CN" w:bidi="zh-CN"/>
      </w:rPr>
    </w:lvl>
    <w:lvl w:ilvl="3" w:tentative="0">
      <w:start w:val="0"/>
      <w:numFmt w:val="bullet"/>
      <w:lvlText w:val="•"/>
      <w:lvlJc w:val="left"/>
      <w:pPr>
        <w:ind w:left="2833" w:hanging="483"/>
      </w:pPr>
      <w:rPr>
        <w:rFonts w:hint="default"/>
        <w:lang w:val="zh-CN" w:eastAsia="zh-CN" w:bidi="zh-CN"/>
      </w:rPr>
    </w:lvl>
    <w:lvl w:ilvl="4" w:tentative="0">
      <w:start w:val="0"/>
      <w:numFmt w:val="bullet"/>
      <w:lvlText w:val="•"/>
      <w:lvlJc w:val="left"/>
      <w:pPr>
        <w:ind w:left="3698" w:hanging="483"/>
      </w:pPr>
      <w:rPr>
        <w:rFonts w:hint="default"/>
        <w:lang w:val="zh-CN" w:eastAsia="zh-CN" w:bidi="zh-CN"/>
      </w:rPr>
    </w:lvl>
    <w:lvl w:ilvl="5" w:tentative="0">
      <w:start w:val="0"/>
      <w:numFmt w:val="bullet"/>
      <w:lvlText w:val="•"/>
      <w:lvlJc w:val="left"/>
      <w:pPr>
        <w:ind w:left="4563" w:hanging="483"/>
      </w:pPr>
      <w:rPr>
        <w:rFonts w:hint="default"/>
        <w:lang w:val="zh-CN" w:eastAsia="zh-CN" w:bidi="zh-CN"/>
      </w:rPr>
    </w:lvl>
    <w:lvl w:ilvl="6" w:tentative="0">
      <w:start w:val="0"/>
      <w:numFmt w:val="bullet"/>
      <w:lvlText w:val="•"/>
      <w:lvlJc w:val="left"/>
      <w:pPr>
        <w:ind w:left="5427" w:hanging="483"/>
      </w:pPr>
      <w:rPr>
        <w:rFonts w:hint="default"/>
        <w:lang w:val="zh-CN" w:eastAsia="zh-CN" w:bidi="zh-CN"/>
      </w:rPr>
    </w:lvl>
    <w:lvl w:ilvl="7" w:tentative="0">
      <w:start w:val="0"/>
      <w:numFmt w:val="bullet"/>
      <w:lvlText w:val="•"/>
      <w:lvlJc w:val="left"/>
      <w:pPr>
        <w:ind w:left="6292" w:hanging="483"/>
      </w:pPr>
      <w:rPr>
        <w:rFonts w:hint="default"/>
        <w:lang w:val="zh-CN" w:eastAsia="zh-CN" w:bidi="zh-CN"/>
      </w:rPr>
    </w:lvl>
    <w:lvl w:ilvl="8" w:tentative="0">
      <w:start w:val="0"/>
      <w:numFmt w:val="bullet"/>
      <w:lvlText w:val="•"/>
      <w:lvlJc w:val="left"/>
      <w:pPr>
        <w:ind w:left="7157" w:hanging="483"/>
      </w:pPr>
      <w:rPr>
        <w:rFonts w:hint="default"/>
        <w:lang w:val="zh-CN" w:eastAsia="zh-CN" w:bidi="zh-CN"/>
      </w:rPr>
    </w:lvl>
  </w:abstractNum>
  <w:abstractNum w:abstractNumId="8">
    <w:nsid w:val="21E04419"/>
    <w:multiLevelType w:val="multilevel"/>
    <w:tmpl w:val="21E04419"/>
    <w:lvl w:ilvl="0" w:tentative="0">
      <w:start w:val="12"/>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9">
    <w:nsid w:val="26F71BB2"/>
    <w:multiLevelType w:val="multilevel"/>
    <w:tmpl w:val="26F71BB2"/>
    <w:lvl w:ilvl="0" w:tentative="0">
      <w:start w:val="15"/>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192" w:hanging="524"/>
      </w:pPr>
      <w:rPr>
        <w:rFonts w:hint="default" w:ascii="宋体" w:hAnsi="宋体" w:eastAsia="宋体" w:cs="宋体"/>
        <w:w w:val="100"/>
        <w:sz w:val="24"/>
        <w:szCs w:val="24"/>
        <w:lang w:val="zh-CN" w:eastAsia="zh-CN" w:bidi="zh-CN"/>
      </w:rPr>
    </w:lvl>
    <w:lvl w:ilvl="2" w:tentative="0">
      <w:start w:val="1"/>
      <w:numFmt w:val="decimal"/>
      <w:lvlText w:val="%1.%2.%3"/>
      <w:lvlJc w:val="left"/>
      <w:pPr>
        <w:ind w:left="234" w:hanging="843"/>
      </w:pPr>
      <w:rPr>
        <w:rFonts w:hint="default" w:ascii="宋体" w:hAnsi="宋体" w:eastAsia="宋体" w:cs="宋体"/>
        <w:w w:val="100"/>
        <w:sz w:val="24"/>
        <w:szCs w:val="24"/>
        <w:lang w:val="zh-CN" w:eastAsia="zh-CN" w:bidi="zh-CN"/>
      </w:rPr>
    </w:lvl>
    <w:lvl w:ilvl="3" w:tentative="0">
      <w:start w:val="1"/>
      <w:numFmt w:val="decimal"/>
      <w:lvlText w:val="%1.%2.%3.%4"/>
      <w:lvlJc w:val="left"/>
      <w:pPr>
        <w:ind w:left="234" w:hanging="1020"/>
      </w:pPr>
      <w:rPr>
        <w:rFonts w:hint="default" w:ascii="宋体" w:hAnsi="宋体" w:eastAsia="宋体" w:cs="宋体"/>
        <w:w w:val="100"/>
        <w:sz w:val="24"/>
        <w:szCs w:val="24"/>
        <w:lang w:val="zh-CN" w:eastAsia="zh-CN" w:bidi="zh-CN"/>
      </w:rPr>
    </w:lvl>
    <w:lvl w:ilvl="4" w:tentative="0">
      <w:start w:val="0"/>
      <w:numFmt w:val="bullet"/>
      <w:lvlText w:val="•"/>
      <w:lvlJc w:val="left"/>
      <w:pPr>
        <w:ind w:left="2503" w:hanging="1020"/>
      </w:pPr>
      <w:rPr>
        <w:rFonts w:hint="default"/>
        <w:lang w:val="zh-CN" w:eastAsia="zh-CN" w:bidi="zh-CN"/>
      </w:rPr>
    </w:lvl>
    <w:lvl w:ilvl="5" w:tentative="0">
      <w:start w:val="0"/>
      <w:numFmt w:val="bullet"/>
      <w:lvlText w:val="•"/>
      <w:lvlJc w:val="left"/>
      <w:pPr>
        <w:ind w:left="3567" w:hanging="1020"/>
      </w:pPr>
      <w:rPr>
        <w:rFonts w:hint="default"/>
        <w:lang w:val="zh-CN" w:eastAsia="zh-CN" w:bidi="zh-CN"/>
      </w:rPr>
    </w:lvl>
    <w:lvl w:ilvl="6" w:tentative="0">
      <w:start w:val="0"/>
      <w:numFmt w:val="bullet"/>
      <w:lvlText w:val="•"/>
      <w:lvlJc w:val="left"/>
      <w:pPr>
        <w:ind w:left="4631" w:hanging="1020"/>
      </w:pPr>
      <w:rPr>
        <w:rFonts w:hint="default"/>
        <w:lang w:val="zh-CN" w:eastAsia="zh-CN" w:bidi="zh-CN"/>
      </w:rPr>
    </w:lvl>
    <w:lvl w:ilvl="7" w:tentative="0">
      <w:start w:val="0"/>
      <w:numFmt w:val="bullet"/>
      <w:lvlText w:val="•"/>
      <w:lvlJc w:val="left"/>
      <w:pPr>
        <w:ind w:left="5695" w:hanging="1020"/>
      </w:pPr>
      <w:rPr>
        <w:rFonts w:hint="default"/>
        <w:lang w:val="zh-CN" w:eastAsia="zh-CN" w:bidi="zh-CN"/>
      </w:rPr>
    </w:lvl>
    <w:lvl w:ilvl="8" w:tentative="0">
      <w:start w:val="0"/>
      <w:numFmt w:val="bullet"/>
      <w:lvlText w:val="•"/>
      <w:lvlJc w:val="left"/>
      <w:pPr>
        <w:ind w:left="6758" w:hanging="1020"/>
      </w:pPr>
      <w:rPr>
        <w:rFonts w:hint="default"/>
        <w:lang w:val="zh-CN" w:eastAsia="zh-CN" w:bidi="zh-CN"/>
      </w:rPr>
    </w:lvl>
  </w:abstractNum>
  <w:abstractNum w:abstractNumId="10">
    <w:nsid w:val="2CD77000"/>
    <w:multiLevelType w:val="multilevel"/>
    <w:tmpl w:val="2CD77000"/>
    <w:lvl w:ilvl="0" w:tentative="0">
      <w:start w:val="2"/>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220" w:hanging="601"/>
      </w:pPr>
      <w:rPr>
        <w:rFonts w:hint="default" w:ascii="宋体" w:hAnsi="宋体" w:eastAsia="宋体" w:cs="宋体"/>
        <w:w w:val="100"/>
        <w:sz w:val="22"/>
        <w:szCs w:val="22"/>
        <w:lang w:val="zh-CN" w:eastAsia="zh-CN" w:bidi="zh-CN"/>
      </w:rPr>
    </w:lvl>
    <w:lvl w:ilvl="3" w:tentative="0">
      <w:start w:val="0"/>
      <w:numFmt w:val="bullet"/>
      <w:lvlText w:val="•"/>
      <w:lvlJc w:val="left"/>
      <w:pPr>
        <w:ind w:left="2370" w:hanging="601"/>
      </w:pPr>
      <w:rPr>
        <w:rFonts w:hint="default"/>
        <w:lang w:val="zh-CN" w:eastAsia="zh-CN" w:bidi="zh-CN"/>
      </w:rPr>
    </w:lvl>
    <w:lvl w:ilvl="4" w:tentative="0">
      <w:start w:val="0"/>
      <w:numFmt w:val="bullet"/>
      <w:lvlText w:val="•"/>
      <w:lvlJc w:val="left"/>
      <w:pPr>
        <w:ind w:left="3301" w:hanging="601"/>
      </w:pPr>
      <w:rPr>
        <w:rFonts w:hint="default"/>
        <w:lang w:val="zh-CN" w:eastAsia="zh-CN" w:bidi="zh-CN"/>
      </w:rPr>
    </w:lvl>
    <w:lvl w:ilvl="5" w:tentative="0">
      <w:start w:val="0"/>
      <w:numFmt w:val="bullet"/>
      <w:lvlText w:val="•"/>
      <w:lvlJc w:val="left"/>
      <w:pPr>
        <w:ind w:left="4232" w:hanging="601"/>
      </w:pPr>
      <w:rPr>
        <w:rFonts w:hint="default"/>
        <w:lang w:val="zh-CN" w:eastAsia="zh-CN" w:bidi="zh-CN"/>
      </w:rPr>
    </w:lvl>
    <w:lvl w:ilvl="6" w:tentative="0">
      <w:start w:val="0"/>
      <w:numFmt w:val="bullet"/>
      <w:lvlText w:val="•"/>
      <w:lvlJc w:val="left"/>
      <w:pPr>
        <w:ind w:left="5163" w:hanging="601"/>
      </w:pPr>
      <w:rPr>
        <w:rFonts w:hint="default"/>
        <w:lang w:val="zh-CN" w:eastAsia="zh-CN" w:bidi="zh-CN"/>
      </w:rPr>
    </w:lvl>
    <w:lvl w:ilvl="7" w:tentative="0">
      <w:start w:val="0"/>
      <w:numFmt w:val="bullet"/>
      <w:lvlText w:val="•"/>
      <w:lvlJc w:val="left"/>
      <w:pPr>
        <w:ind w:left="6094" w:hanging="601"/>
      </w:pPr>
      <w:rPr>
        <w:rFonts w:hint="default"/>
        <w:lang w:val="zh-CN" w:eastAsia="zh-CN" w:bidi="zh-CN"/>
      </w:rPr>
    </w:lvl>
    <w:lvl w:ilvl="8" w:tentative="0">
      <w:start w:val="0"/>
      <w:numFmt w:val="bullet"/>
      <w:lvlText w:val="•"/>
      <w:lvlJc w:val="left"/>
      <w:pPr>
        <w:ind w:left="7024" w:hanging="601"/>
      </w:pPr>
      <w:rPr>
        <w:rFonts w:hint="default"/>
        <w:lang w:val="zh-CN" w:eastAsia="zh-CN" w:bidi="zh-CN"/>
      </w:rPr>
    </w:lvl>
  </w:abstractNum>
  <w:abstractNum w:abstractNumId="11">
    <w:nsid w:val="427C4845"/>
    <w:multiLevelType w:val="multilevel"/>
    <w:tmpl w:val="427C4845"/>
    <w:lvl w:ilvl="0" w:tentative="0">
      <w:start w:val="1"/>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671"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1805" w:hanging="420"/>
      </w:pPr>
      <w:rPr>
        <w:rFonts w:hint="default"/>
        <w:lang w:val="zh-CN" w:eastAsia="zh-CN" w:bidi="zh-CN"/>
      </w:rPr>
    </w:lvl>
    <w:lvl w:ilvl="3" w:tentative="0">
      <w:start w:val="0"/>
      <w:numFmt w:val="bullet"/>
      <w:lvlText w:val="•"/>
      <w:lvlJc w:val="left"/>
      <w:pPr>
        <w:ind w:left="2690" w:hanging="420"/>
      </w:pPr>
      <w:rPr>
        <w:rFonts w:hint="default"/>
        <w:lang w:val="zh-CN" w:eastAsia="zh-CN" w:bidi="zh-CN"/>
      </w:rPr>
    </w:lvl>
    <w:lvl w:ilvl="4" w:tentative="0">
      <w:start w:val="0"/>
      <w:numFmt w:val="bullet"/>
      <w:lvlText w:val="•"/>
      <w:lvlJc w:val="left"/>
      <w:pPr>
        <w:ind w:left="3575" w:hanging="420"/>
      </w:pPr>
      <w:rPr>
        <w:rFonts w:hint="default"/>
        <w:lang w:val="zh-CN" w:eastAsia="zh-CN" w:bidi="zh-CN"/>
      </w:rPr>
    </w:lvl>
    <w:lvl w:ilvl="5" w:tentative="0">
      <w:start w:val="0"/>
      <w:numFmt w:val="bullet"/>
      <w:lvlText w:val="•"/>
      <w:lvlJc w:val="left"/>
      <w:pPr>
        <w:ind w:left="4460" w:hanging="420"/>
      </w:pPr>
      <w:rPr>
        <w:rFonts w:hint="default"/>
        <w:lang w:val="zh-CN" w:eastAsia="zh-CN" w:bidi="zh-CN"/>
      </w:rPr>
    </w:lvl>
    <w:lvl w:ilvl="6" w:tentative="0">
      <w:start w:val="0"/>
      <w:numFmt w:val="bullet"/>
      <w:lvlText w:val="•"/>
      <w:lvlJc w:val="left"/>
      <w:pPr>
        <w:ind w:left="5345" w:hanging="420"/>
      </w:pPr>
      <w:rPr>
        <w:rFonts w:hint="default"/>
        <w:lang w:val="zh-CN" w:eastAsia="zh-CN" w:bidi="zh-CN"/>
      </w:rPr>
    </w:lvl>
    <w:lvl w:ilvl="7" w:tentative="0">
      <w:start w:val="0"/>
      <w:numFmt w:val="bullet"/>
      <w:lvlText w:val="•"/>
      <w:lvlJc w:val="left"/>
      <w:pPr>
        <w:ind w:left="6230" w:hanging="420"/>
      </w:pPr>
      <w:rPr>
        <w:rFonts w:hint="default"/>
        <w:lang w:val="zh-CN" w:eastAsia="zh-CN" w:bidi="zh-CN"/>
      </w:rPr>
    </w:lvl>
    <w:lvl w:ilvl="8" w:tentative="0">
      <w:start w:val="0"/>
      <w:numFmt w:val="bullet"/>
      <w:lvlText w:val="•"/>
      <w:lvlJc w:val="left"/>
      <w:pPr>
        <w:ind w:left="7116" w:hanging="420"/>
      </w:pPr>
      <w:rPr>
        <w:rFonts w:hint="default"/>
        <w:lang w:val="zh-CN" w:eastAsia="zh-CN" w:bidi="zh-CN"/>
      </w:rPr>
    </w:lvl>
  </w:abstractNum>
  <w:abstractNum w:abstractNumId="12">
    <w:nsid w:val="473C1467"/>
    <w:multiLevelType w:val="multilevel"/>
    <w:tmpl w:val="473C1467"/>
    <w:lvl w:ilvl="0" w:tentative="0">
      <w:start w:val="1"/>
      <w:numFmt w:val="decimal"/>
      <w:lvlText w:val="（%1）"/>
      <w:lvlJc w:val="left"/>
      <w:pPr>
        <w:ind w:left="1270"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40" w:hanging="601"/>
      </w:pPr>
      <w:rPr>
        <w:rFonts w:hint="default"/>
        <w:lang w:val="zh-CN" w:eastAsia="zh-CN" w:bidi="zh-CN"/>
      </w:rPr>
    </w:lvl>
    <w:lvl w:ilvl="2" w:tentative="0">
      <w:start w:val="0"/>
      <w:numFmt w:val="bullet"/>
      <w:lvlText w:val="•"/>
      <w:lvlJc w:val="left"/>
      <w:pPr>
        <w:ind w:left="2801" w:hanging="601"/>
      </w:pPr>
      <w:rPr>
        <w:rFonts w:hint="default"/>
        <w:lang w:val="zh-CN" w:eastAsia="zh-CN" w:bidi="zh-CN"/>
      </w:rPr>
    </w:lvl>
    <w:lvl w:ilvl="3" w:tentative="0">
      <w:start w:val="0"/>
      <w:numFmt w:val="bullet"/>
      <w:lvlText w:val="•"/>
      <w:lvlJc w:val="left"/>
      <w:pPr>
        <w:ind w:left="3561" w:hanging="601"/>
      </w:pPr>
      <w:rPr>
        <w:rFonts w:hint="default"/>
        <w:lang w:val="zh-CN" w:eastAsia="zh-CN" w:bidi="zh-CN"/>
      </w:rPr>
    </w:lvl>
    <w:lvl w:ilvl="4" w:tentative="0">
      <w:start w:val="0"/>
      <w:numFmt w:val="bullet"/>
      <w:lvlText w:val="•"/>
      <w:lvlJc w:val="left"/>
      <w:pPr>
        <w:ind w:left="4322" w:hanging="601"/>
      </w:pPr>
      <w:rPr>
        <w:rFonts w:hint="default"/>
        <w:lang w:val="zh-CN" w:eastAsia="zh-CN" w:bidi="zh-CN"/>
      </w:rPr>
    </w:lvl>
    <w:lvl w:ilvl="5" w:tentative="0">
      <w:start w:val="0"/>
      <w:numFmt w:val="bullet"/>
      <w:lvlText w:val="•"/>
      <w:lvlJc w:val="left"/>
      <w:pPr>
        <w:ind w:left="5083" w:hanging="601"/>
      </w:pPr>
      <w:rPr>
        <w:rFonts w:hint="default"/>
        <w:lang w:val="zh-CN" w:eastAsia="zh-CN" w:bidi="zh-CN"/>
      </w:rPr>
    </w:lvl>
    <w:lvl w:ilvl="6" w:tentative="0">
      <w:start w:val="0"/>
      <w:numFmt w:val="bullet"/>
      <w:lvlText w:val="•"/>
      <w:lvlJc w:val="left"/>
      <w:pPr>
        <w:ind w:left="5843" w:hanging="601"/>
      </w:pPr>
      <w:rPr>
        <w:rFonts w:hint="default"/>
        <w:lang w:val="zh-CN" w:eastAsia="zh-CN" w:bidi="zh-CN"/>
      </w:rPr>
    </w:lvl>
    <w:lvl w:ilvl="7" w:tentative="0">
      <w:start w:val="0"/>
      <w:numFmt w:val="bullet"/>
      <w:lvlText w:val="•"/>
      <w:lvlJc w:val="left"/>
      <w:pPr>
        <w:ind w:left="6604" w:hanging="601"/>
      </w:pPr>
      <w:rPr>
        <w:rFonts w:hint="default"/>
        <w:lang w:val="zh-CN" w:eastAsia="zh-CN" w:bidi="zh-CN"/>
      </w:rPr>
    </w:lvl>
    <w:lvl w:ilvl="8" w:tentative="0">
      <w:start w:val="0"/>
      <w:numFmt w:val="bullet"/>
      <w:lvlText w:val="•"/>
      <w:lvlJc w:val="left"/>
      <w:pPr>
        <w:ind w:left="7365" w:hanging="601"/>
      </w:pPr>
      <w:rPr>
        <w:rFonts w:hint="default"/>
        <w:lang w:val="zh-CN" w:eastAsia="zh-CN" w:bidi="zh-CN"/>
      </w:rPr>
    </w:lvl>
  </w:abstractNum>
  <w:abstractNum w:abstractNumId="13">
    <w:nsid w:val="519167AC"/>
    <w:multiLevelType w:val="multilevel"/>
    <w:tmpl w:val="519167AC"/>
    <w:lvl w:ilvl="0" w:tentative="0">
      <w:start w:val="1"/>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131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2265" w:hanging="660"/>
      </w:pPr>
      <w:rPr>
        <w:rFonts w:hint="default"/>
        <w:lang w:val="zh-CN" w:eastAsia="zh-CN" w:bidi="zh-CN"/>
      </w:rPr>
    </w:lvl>
    <w:lvl w:ilvl="4" w:tentative="0">
      <w:start w:val="0"/>
      <w:numFmt w:val="bullet"/>
      <w:lvlText w:val="•"/>
      <w:lvlJc w:val="left"/>
      <w:pPr>
        <w:ind w:left="3211" w:hanging="660"/>
      </w:pPr>
      <w:rPr>
        <w:rFonts w:hint="default"/>
        <w:lang w:val="zh-CN" w:eastAsia="zh-CN" w:bidi="zh-CN"/>
      </w:rPr>
    </w:lvl>
    <w:lvl w:ilvl="5" w:tentative="0">
      <w:start w:val="0"/>
      <w:numFmt w:val="bullet"/>
      <w:lvlText w:val="•"/>
      <w:lvlJc w:val="left"/>
      <w:pPr>
        <w:ind w:left="4157" w:hanging="660"/>
      </w:pPr>
      <w:rPr>
        <w:rFonts w:hint="default"/>
        <w:lang w:val="zh-CN" w:eastAsia="zh-CN" w:bidi="zh-CN"/>
      </w:rPr>
    </w:lvl>
    <w:lvl w:ilvl="6" w:tentative="0">
      <w:start w:val="0"/>
      <w:numFmt w:val="bullet"/>
      <w:lvlText w:val="•"/>
      <w:lvlJc w:val="left"/>
      <w:pPr>
        <w:ind w:left="5103" w:hanging="660"/>
      </w:pPr>
      <w:rPr>
        <w:rFonts w:hint="default"/>
        <w:lang w:val="zh-CN" w:eastAsia="zh-CN" w:bidi="zh-CN"/>
      </w:rPr>
    </w:lvl>
    <w:lvl w:ilvl="7" w:tentative="0">
      <w:start w:val="0"/>
      <w:numFmt w:val="bullet"/>
      <w:lvlText w:val="•"/>
      <w:lvlJc w:val="left"/>
      <w:pPr>
        <w:ind w:left="6049" w:hanging="660"/>
      </w:pPr>
      <w:rPr>
        <w:rFonts w:hint="default"/>
        <w:lang w:val="zh-CN" w:eastAsia="zh-CN" w:bidi="zh-CN"/>
      </w:rPr>
    </w:lvl>
    <w:lvl w:ilvl="8" w:tentative="0">
      <w:start w:val="0"/>
      <w:numFmt w:val="bullet"/>
      <w:lvlText w:val="•"/>
      <w:lvlJc w:val="left"/>
      <w:pPr>
        <w:ind w:left="6994" w:hanging="660"/>
      </w:pPr>
      <w:rPr>
        <w:rFonts w:hint="default"/>
        <w:lang w:val="zh-CN" w:eastAsia="zh-CN" w:bidi="zh-CN"/>
      </w:rPr>
    </w:lvl>
  </w:abstractNum>
  <w:abstractNum w:abstractNumId="14">
    <w:nsid w:val="54F03C11"/>
    <w:multiLevelType w:val="multilevel"/>
    <w:tmpl w:val="54F03C11"/>
    <w:lvl w:ilvl="0" w:tentative="0">
      <w:start w:val="32"/>
      <w:numFmt w:val="decimal"/>
      <w:lvlText w:val="%1"/>
      <w:lvlJc w:val="left"/>
      <w:pPr>
        <w:ind w:left="1218" w:hanging="550"/>
      </w:pPr>
      <w:rPr>
        <w:rFonts w:hint="default"/>
        <w:lang w:val="zh-CN" w:eastAsia="zh-CN" w:bidi="zh-CN"/>
      </w:rPr>
    </w:lvl>
    <w:lvl w:ilvl="1" w:tentative="0">
      <w:start w:val="1"/>
      <w:numFmt w:val="decimal"/>
      <w:lvlText w:val="%1.%2"/>
      <w:lvlJc w:val="left"/>
      <w:pPr>
        <w:ind w:left="1218" w:hanging="550"/>
      </w:pPr>
      <w:rPr>
        <w:rFonts w:hint="default" w:ascii="宋体" w:hAnsi="宋体" w:eastAsia="宋体" w:cs="宋体"/>
        <w:spacing w:val="0"/>
        <w:w w:val="100"/>
        <w:sz w:val="24"/>
        <w:szCs w:val="24"/>
        <w:lang w:val="zh-CN" w:eastAsia="zh-CN" w:bidi="zh-CN"/>
      </w:rPr>
    </w:lvl>
    <w:lvl w:ilvl="2" w:tentative="0">
      <w:start w:val="0"/>
      <w:numFmt w:val="bullet"/>
      <w:lvlText w:val="•"/>
      <w:lvlJc w:val="left"/>
      <w:pPr>
        <w:ind w:left="2753" w:hanging="550"/>
      </w:pPr>
      <w:rPr>
        <w:rFonts w:hint="default"/>
        <w:lang w:val="zh-CN" w:eastAsia="zh-CN" w:bidi="zh-CN"/>
      </w:rPr>
    </w:lvl>
    <w:lvl w:ilvl="3" w:tentative="0">
      <w:start w:val="0"/>
      <w:numFmt w:val="bullet"/>
      <w:lvlText w:val="•"/>
      <w:lvlJc w:val="left"/>
      <w:pPr>
        <w:ind w:left="3519" w:hanging="550"/>
      </w:pPr>
      <w:rPr>
        <w:rFonts w:hint="default"/>
        <w:lang w:val="zh-CN" w:eastAsia="zh-CN" w:bidi="zh-CN"/>
      </w:rPr>
    </w:lvl>
    <w:lvl w:ilvl="4" w:tentative="0">
      <w:start w:val="0"/>
      <w:numFmt w:val="bullet"/>
      <w:lvlText w:val="•"/>
      <w:lvlJc w:val="left"/>
      <w:pPr>
        <w:ind w:left="4286" w:hanging="550"/>
      </w:pPr>
      <w:rPr>
        <w:rFonts w:hint="default"/>
        <w:lang w:val="zh-CN" w:eastAsia="zh-CN" w:bidi="zh-CN"/>
      </w:rPr>
    </w:lvl>
    <w:lvl w:ilvl="5" w:tentative="0">
      <w:start w:val="0"/>
      <w:numFmt w:val="bullet"/>
      <w:lvlText w:val="•"/>
      <w:lvlJc w:val="left"/>
      <w:pPr>
        <w:ind w:left="5053" w:hanging="550"/>
      </w:pPr>
      <w:rPr>
        <w:rFonts w:hint="default"/>
        <w:lang w:val="zh-CN" w:eastAsia="zh-CN" w:bidi="zh-CN"/>
      </w:rPr>
    </w:lvl>
    <w:lvl w:ilvl="6" w:tentative="0">
      <w:start w:val="0"/>
      <w:numFmt w:val="bullet"/>
      <w:lvlText w:val="•"/>
      <w:lvlJc w:val="left"/>
      <w:pPr>
        <w:ind w:left="5819" w:hanging="550"/>
      </w:pPr>
      <w:rPr>
        <w:rFonts w:hint="default"/>
        <w:lang w:val="zh-CN" w:eastAsia="zh-CN" w:bidi="zh-CN"/>
      </w:rPr>
    </w:lvl>
    <w:lvl w:ilvl="7" w:tentative="0">
      <w:start w:val="0"/>
      <w:numFmt w:val="bullet"/>
      <w:lvlText w:val="•"/>
      <w:lvlJc w:val="left"/>
      <w:pPr>
        <w:ind w:left="6586" w:hanging="550"/>
      </w:pPr>
      <w:rPr>
        <w:rFonts w:hint="default"/>
        <w:lang w:val="zh-CN" w:eastAsia="zh-CN" w:bidi="zh-CN"/>
      </w:rPr>
    </w:lvl>
    <w:lvl w:ilvl="8" w:tentative="0">
      <w:start w:val="0"/>
      <w:numFmt w:val="bullet"/>
      <w:lvlText w:val="•"/>
      <w:lvlJc w:val="left"/>
      <w:pPr>
        <w:ind w:left="7353" w:hanging="550"/>
      </w:pPr>
      <w:rPr>
        <w:rFonts w:hint="default"/>
        <w:lang w:val="zh-CN" w:eastAsia="zh-CN" w:bidi="zh-CN"/>
      </w:rPr>
    </w:lvl>
  </w:abstractNum>
  <w:abstractNum w:abstractNumId="15">
    <w:nsid w:val="602772DD"/>
    <w:multiLevelType w:val="multilevel"/>
    <w:tmpl w:val="602772D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3417D68"/>
    <w:multiLevelType w:val="multilevel"/>
    <w:tmpl w:val="63417D68"/>
    <w:lvl w:ilvl="0" w:tentative="0">
      <w:start w:val="30"/>
      <w:numFmt w:val="decimal"/>
      <w:lvlText w:val="%1"/>
      <w:lvlJc w:val="left"/>
      <w:pPr>
        <w:ind w:left="1209" w:hanging="540"/>
      </w:pPr>
      <w:rPr>
        <w:rFonts w:hint="default"/>
        <w:lang w:val="zh-CN" w:eastAsia="zh-CN" w:bidi="zh-CN"/>
      </w:rPr>
    </w:lvl>
    <w:lvl w:ilvl="1" w:tentative="0">
      <w:start w:val="1"/>
      <w:numFmt w:val="decimal"/>
      <w:lvlText w:val="%1.%2"/>
      <w:lvlJc w:val="left"/>
      <w:pPr>
        <w:ind w:left="1209"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737" w:hanging="540"/>
      </w:pPr>
      <w:rPr>
        <w:rFonts w:hint="default"/>
        <w:lang w:val="zh-CN" w:eastAsia="zh-CN" w:bidi="zh-CN"/>
      </w:rPr>
    </w:lvl>
    <w:lvl w:ilvl="3" w:tentative="0">
      <w:start w:val="0"/>
      <w:numFmt w:val="bullet"/>
      <w:lvlText w:val="•"/>
      <w:lvlJc w:val="left"/>
      <w:pPr>
        <w:ind w:left="3505" w:hanging="540"/>
      </w:pPr>
      <w:rPr>
        <w:rFonts w:hint="default"/>
        <w:lang w:val="zh-CN" w:eastAsia="zh-CN" w:bidi="zh-CN"/>
      </w:rPr>
    </w:lvl>
    <w:lvl w:ilvl="4" w:tentative="0">
      <w:start w:val="0"/>
      <w:numFmt w:val="bullet"/>
      <w:lvlText w:val="•"/>
      <w:lvlJc w:val="left"/>
      <w:pPr>
        <w:ind w:left="4274" w:hanging="540"/>
      </w:pPr>
      <w:rPr>
        <w:rFonts w:hint="default"/>
        <w:lang w:val="zh-CN" w:eastAsia="zh-CN" w:bidi="zh-CN"/>
      </w:rPr>
    </w:lvl>
    <w:lvl w:ilvl="5" w:tentative="0">
      <w:start w:val="0"/>
      <w:numFmt w:val="bullet"/>
      <w:lvlText w:val="•"/>
      <w:lvlJc w:val="left"/>
      <w:pPr>
        <w:ind w:left="5043" w:hanging="540"/>
      </w:pPr>
      <w:rPr>
        <w:rFonts w:hint="default"/>
        <w:lang w:val="zh-CN" w:eastAsia="zh-CN" w:bidi="zh-CN"/>
      </w:rPr>
    </w:lvl>
    <w:lvl w:ilvl="6" w:tentative="0">
      <w:start w:val="0"/>
      <w:numFmt w:val="bullet"/>
      <w:lvlText w:val="•"/>
      <w:lvlJc w:val="left"/>
      <w:pPr>
        <w:ind w:left="5811" w:hanging="540"/>
      </w:pPr>
      <w:rPr>
        <w:rFonts w:hint="default"/>
        <w:lang w:val="zh-CN" w:eastAsia="zh-CN" w:bidi="zh-CN"/>
      </w:rPr>
    </w:lvl>
    <w:lvl w:ilvl="7" w:tentative="0">
      <w:start w:val="0"/>
      <w:numFmt w:val="bullet"/>
      <w:lvlText w:val="•"/>
      <w:lvlJc w:val="left"/>
      <w:pPr>
        <w:ind w:left="6580" w:hanging="540"/>
      </w:pPr>
      <w:rPr>
        <w:rFonts w:hint="default"/>
        <w:lang w:val="zh-CN" w:eastAsia="zh-CN" w:bidi="zh-CN"/>
      </w:rPr>
    </w:lvl>
    <w:lvl w:ilvl="8" w:tentative="0">
      <w:start w:val="0"/>
      <w:numFmt w:val="bullet"/>
      <w:lvlText w:val="•"/>
      <w:lvlJc w:val="left"/>
      <w:pPr>
        <w:ind w:left="7349" w:hanging="540"/>
      </w:pPr>
      <w:rPr>
        <w:rFonts w:hint="default"/>
        <w:lang w:val="zh-CN" w:eastAsia="zh-CN" w:bidi="zh-CN"/>
      </w:rPr>
    </w:lvl>
  </w:abstractNum>
  <w:abstractNum w:abstractNumId="17">
    <w:nsid w:val="64B9E4ED"/>
    <w:multiLevelType w:val="singleLevel"/>
    <w:tmpl w:val="64B9E4ED"/>
    <w:lvl w:ilvl="0" w:tentative="0">
      <w:start w:val="1"/>
      <w:numFmt w:val="decimal"/>
      <w:suff w:val="nothing"/>
      <w:lvlText w:val="%1、"/>
      <w:lvlJc w:val="left"/>
    </w:lvl>
  </w:abstractNum>
  <w:abstractNum w:abstractNumId="18">
    <w:nsid w:val="65D55E18"/>
    <w:multiLevelType w:val="multilevel"/>
    <w:tmpl w:val="65D55E18"/>
    <w:lvl w:ilvl="0" w:tentative="0">
      <w:start w:val="1"/>
      <w:numFmt w:val="decimal"/>
      <w:lvlText w:val="%1"/>
      <w:lvlJc w:val="left"/>
      <w:pPr>
        <w:ind w:left="705" w:hanging="485"/>
      </w:pPr>
      <w:rPr>
        <w:rFonts w:hint="default"/>
        <w:lang w:val="zh-CN" w:eastAsia="zh-CN" w:bidi="zh-CN"/>
      </w:rPr>
    </w:lvl>
    <w:lvl w:ilvl="1" w:tentative="0">
      <w:start w:val="1"/>
      <w:numFmt w:val="decimal"/>
      <w:lvlText w:val="%1-%2"/>
      <w:lvlJc w:val="left"/>
      <w:pPr>
        <w:ind w:left="705" w:hanging="485"/>
      </w:pPr>
      <w:rPr>
        <w:rFonts w:hint="default" w:ascii="宋体" w:hAnsi="宋体" w:eastAsia="宋体" w:cs="宋体"/>
        <w:b/>
        <w:bCs/>
        <w:spacing w:val="-1"/>
        <w:w w:val="99"/>
        <w:sz w:val="24"/>
        <w:szCs w:val="24"/>
        <w:lang w:val="zh-CN" w:eastAsia="zh-CN" w:bidi="zh-CN"/>
      </w:rPr>
    </w:lvl>
    <w:lvl w:ilvl="2" w:tentative="0">
      <w:start w:val="1"/>
      <w:numFmt w:val="decimal"/>
      <w:lvlText w:val="%3."/>
      <w:lvlJc w:val="left"/>
      <w:pPr>
        <w:ind w:left="220" w:hanging="241"/>
      </w:pPr>
      <w:rPr>
        <w:rFonts w:hint="eastAsia"/>
        <w:b w:val="0"/>
        <w:i w:val="0"/>
        <w:spacing w:val="0"/>
        <w:w w:val="100"/>
        <w:lang w:val="zh-CN" w:eastAsia="zh-CN" w:bidi="zh-CN"/>
      </w:rPr>
    </w:lvl>
    <w:lvl w:ilvl="3" w:tentative="0">
      <w:start w:val="0"/>
      <w:numFmt w:val="bullet"/>
      <w:lvlText w:val="•"/>
      <w:lvlJc w:val="left"/>
      <w:pPr>
        <w:ind w:left="2519" w:hanging="241"/>
      </w:pPr>
      <w:rPr>
        <w:rFonts w:hint="default"/>
        <w:lang w:val="zh-CN" w:eastAsia="zh-CN" w:bidi="zh-CN"/>
      </w:rPr>
    </w:lvl>
    <w:lvl w:ilvl="4" w:tentative="0">
      <w:start w:val="0"/>
      <w:numFmt w:val="bullet"/>
      <w:lvlText w:val="•"/>
      <w:lvlJc w:val="left"/>
      <w:pPr>
        <w:ind w:left="3428" w:hanging="241"/>
      </w:pPr>
      <w:rPr>
        <w:rFonts w:hint="default"/>
        <w:lang w:val="zh-CN" w:eastAsia="zh-CN" w:bidi="zh-CN"/>
      </w:rPr>
    </w:lvl>
    <w:lvl w:ilvl="5" w:tentative="0">
      <w:start w:val="0"/>
      <w:numFmt w:val="bullet"/>
      <w:lvlText w:val="•"/>
      <w:lvlJc w:val="left"/>
      <w:pPr>
        <w:ind w:left="4338" w:hanging="241"/>
      </w:pPr>
      <w:rPr>
        <w:rFonts w:hint="default"/>
        <w:lang w:val="zh-CN" w:eastAsia="zh-CN" w:bidi="zh-CN"/>
      </w:rPr>
    </w:lvl>
    <w:lvl w:ilvl="6" w:tentative="0">
      <w:start w:val="0"/>
      <w:numFmt w:val="bullet"/>
      <w:lvlText w:val="•"/>
      <w:lvlJc w:val="left"/>
      <w:pPr>
        <w:ind w:left="5248" w:hanging="241"/>
      </w:pPr>
      <w:rPr>
        <w:rFonts w:hint="default"/>
        <w:lang w:val="zh-CN" w:eastAsia="zh-CN" w:bidi="zh-CN"/>
      </w:rPr>
    </w:lvl>
    <w:lvl w:ilvl="7" w:tentative="0">
      <w:start w:val="0"/>
      <w:numFmt w:val="bullet"/>
      <w:lvlText w:val="•"/>
      <w:lvlJc w:val="left"/>
      <w:pPr>
        <w:ind w:left="6157" w:hanging="241"/>
      </w:pPr>
      <w:rPr>
        <w:rFonts w:hint="default"/>
        <w:lang w:val="zh-CN" w:eastAsia="zh-CN" w:bidi="zh-CN"/>
      </w:rPr>
    </w:lvl>
    <w:lvl w:ilvl="8" w:tentative="0">
      <w:start w:val="0"/>
      <w:numFmt w:val="bullet"/>
      <w:lvlText w:val="•"/>
      <w:lvlJc w:val="left"/>
      <w:pPr>
        <w:ind w:left="7067" w:hanging="241"/>
      </w:pPr>
      <w:rPr>
        <w:rFonts w:hint="default"/>
        <w:lang w:val="zh-CN" w:eastAsia="zh-CN" w:bidi="zh-CN"/>
      </w:rPr>
    </w:lvl>
  </w:abstractNum>
  <w:abstractNum w:abstractNumId="19">
    <w:nsid w:val="667D282E"/>
    <w:multiLevelType w:val="multilevel"/>
    <w:tmpl w:val="667D282E"/>
    <w:lvl w:ilvl="0" w:tentative="0">
      <w:start w:val="2"/>
      <w:numFmt w:val="decimal"/>
      <w:lvlText w:val="%1"/>
      <w:lvlJc w:val="left"/>
      <w:pPr>
        <w:ind w:left="1089" w:hanging="420"/>
      </w:pPr>
      <w:rPr>
        <w:rFonts w:hint="default"/>
        <w:lang w:val="zh-CN" w:eastAsia="zh-CN" w:bidi="zh-CN"/>
      </w:rPr>
    </w:lvl>
    <w:lvl w:ilvl="1" w:tentative="0">
      <w:start w:val="1"/>
      <w:numFmt w:val="decimal"/>
      <w:lvlText w:val="%1.%2"/>
      <w:lvlJc w:val="left"/>
      <w:pPr>
        <w:ind w:left="1089" w:hanging="420"/>
      </w:pPr>
      <w:rPr>
        <w:rFonts w:hint="default"/>
        <w:w w:val="100"/>
        <w:lang w:val="zh-CN" w:eastAsia="zh-CN" w:bidi="zh-CN"/>
      </w:rPr>
    </w:lvl>
    <w:lvl w:ilvl="2" w:tentative="0">
      <w:start w:val="1"/>
      <w:numFmt w:val="decimal"/>
      <w:lvlText w:val="%1.%2.%3"/>
      <w:lvlJc w:val="left"/>
      <w:pPr>
        <w:ind w:left="1312" w:hanging="644"/>
      </w:pPr>
      <w:rPr>
        <w:rFonts w:hint="default" w:ascii="宋体" w:hAnsi="宋体" w:eastAsia="宋体" w:cs="宋体"/>
        <w:w w:val="100"/>
        <w:sz w:val="24"/>
        <w:szCs w:val="24"/>
        <w:lang w:val="zh-CN" w:eastAsia="zh-CN" w:bidi="zh-CN"/>
      </w:rPr>
    </w:lvl>
    <w:lvl w:ilvl="3" w:tentative="0">
      <w:start w:val="0"/>
      <w:numFmt w:val="bullet"/>
      <w:lvlText w:val="•"/>
      <w:lvlJc w:val="left"/>
      <w:pPr>
        <w:ind w:left="3001" w:hanging="644"/>
      </w:pPr>
      <w:rPr>
        <w:rFonts w:hint="default"/>
        <w:lang w:val="zh-CN" w:eastAsia="zh-CN" w:bidi="zh-CN"/>
      </w:rPr>
    </w:lvl>
    <w:lvl w:ilvl="4" w:tentative="0">
      <w:start w:val="0"/>
      <w:numFmt w:val="bullet"/>
      <w:lvlText w:val="•"/>
      <w:lvlJc w:val="left"/>
      <w:pPr>
        <w:ind w:left="3842" w:hanging="644"/>
      </w:pPr>
      <w:rPr>
        <w:rFonts w:hint="default"/>
        <w:lang w:val="zh-CN" w:eastAsia="zh-CN" w:bidi="zh-CN"/>
      </w:rPr>
    </w:lvl>
    <w:lvl w:ilvl="5" w:tentative="0">
      <w:start w:val="0"/>
      <w:numFmt w:val="bullet"/>
      <w:lvlText w:val="•"/>
      <w:lvlJc w:val="left"/>
      <w:pPr>
        <w:ind w:left="4682" w:hanging="644"/>
      </w:pPr>
      <w:rPr>
        <w:rFonts w:hint="default"/>
        <w:lang w:val="zh-CN" w:eastAsia="zh-CN" w:bidi="zh-CN"/>
      </w:rPr>
    </w:lvl>
    <w:lvl w:ilvl="6" w:tentative="0">
      <w:start w:val="0"/>
      <w:numFmt w:val="bullet"/>
      <w:lvlText w:val="•"/>
      <w:lvlJc w:val="left"/>
      <w:pPr>
        <w:ind w:left="5523" w:hanging="644"/>
      </w:pPr>
      <w:rPr>
        <w:rFonts w:hint="default"/>
        <w:lang w:val="zh-CN" w:eastAsia="zh-CN" w:bidi="zh-CN"/>
      </w:rPr>
    </w:lvl>
    <w:lvl w:ilvl="7" w:tentative="0">
      <w:start w:val="0"/>
      <w:numFmt w:val="bullet"/>
      <w:lvlText w:val="•"/>
      <w:lvlJc w:val="left"/>
      <w:pPr>
        <w:ind w:left="6364" w:hanging="644"/>
      </w:pPr>
      <w:rPr>
        <w:rFonts w:hint="default"/>
        <w:lang w:val="zh-CN" w:eastAsia="zh-CN" w:bidi="zh-CN"/>
      </w:rPr>
    </w:lvl>
    <w:lvl w:ilvl="8" w:tentative="0">
      <w:start w:val="0"/>
      <w:numFmt w:val="bullet"/>
      <w:lvlText w:val="•"/>
      <w:lvlJc w:val="left"/>
      <w:pPr>
        <w:ind w:left="7204" w:hanging="644"/>
      </w:pPr>
      <w:rPr>
        <w:rFonts w:hint="default"/>
        <w:lang w:val="zh-CN" w:eastAsia="zh-CN" w:bidi="zh-CN"/>
      </w:rPr>
    </w:lvl>
  </w:abstractNum>
  <w:abstractNum w:abstractNumId="20">
    <w:nsid w:val="66AA45D7"/>
    <w:multiLevelType w:val="multilevel"/>
    <w:tmpl w:val="66AA45D7"/>
    <w:lvl w:ilvl="0" w:tentative="0">
      <w:start w:val="1"/>
      <w:numFmt w:val="decimal"/>
      <w:lvlText w:val="（%1）"/>
      <w:lvlJc w:val="left"/>
      <w:pPr>
        <w:ind w:left="234" w:hanging="606"/>
      </w:pPr>
      <w:rPr>
        <w:rFonts w:hint="default" w:ascii="宋体" w:hAnsi="宋体" w:eastAsia="宋体" w:cs="宋体"/>
        <w:spacing w:val="0"/>
        <w:w w:val="100"/>
        <w:sz w:val="22"/>
        <w:szCs w:val="22"/>
        <w:lang w:val="zh-CN" w:eastAsia="zh-CN" w:bidi="zh-CN"/>
      </w:rPr>
    </w:lvl>
    <w:lvl w:ilvl="1" w:tentative="0">
      <w:start w:val="0"/>
      <w:numFmt w:val="bullet"/>
      <w:lvlText w:val="•"/>
      <w:lvlJc w:val="left"/>
      <w:pPr>
        <w:ind w:left="1104" w:hanging="606"/>
      </w:pPr>
      <w:rPr>
        <w:rFonts w:hint="default"/>
        <w:lang w:val="zh-CN" w:eastAsia="zh-CN" w:bidi="zh-CN"/>
      </w:rPr>
    </w:lvl>
    <w:lvl w:ilvl="2" w:tentative="0">
      <w:start w:val="0"/>
      <w:numFmt w:val="bullet"/>
      <w:lvlText w:val="•"/>
      <w:lvlJc w:val="left"/>
      <w:pPr>
        <w:ind w:left="1969" w:hanging="606"/>
      </w:pPr>
      <w:rPr>
        <w:rFonts w:hint="default"/>
        <w:lang w:val="zh-CN" w:eastAsia="zh-CN" w:bidi="zh-CN"/>
      </w:rPr>
    </w:lvl>
    <w:lvl w:ilvl="3" w:tentative="0">
      <w:start w:val="0"/>
      <w:numFmt w:val="bullet"/>
      <w:lvlText w:val="•"/>
      <w:lvlJc w:val="left"/>
      <w:pPr>
        <w:ind w:left="2833" w:hanging="606"/>
      </w:pPr>
      <w:rPr>
        <w:rFonts w:hint="default"/>
        <w:lang w:val="zh-CN" w:eastAsia="zh-CN" w:bidi="zh-CN"/>
      </w:rPr>
    </w:lvl>
    <w:lvl w:ilvl="4" w:tentative="0">
      <w:start w:val="0"/>
      <w:numFmt w:val="bullet"/>
      <w:lvlText w:val="•"/>
      <w:lvlJc w:val="left"/>
      <w:pPr>
        <w:ind w:left="3698" w:hanging="606"/>
      </w:pPr>
      <w:rPr>
        <w:rFonts w:hint="default"/>
        <w:lang w:val="zh-CN" w:eastAsia="zh-CN" w:bidi="zh-CN"/>
      </w:rPr>
    </w:lvl>
    <w:lvl w:ilvl="5" w:tentative="0">
      <w:start w:val="0"/>
      <w:numFmt w:val="bullet"/>
      <w:lvlText w:val="•"/>
      <w:lvlJc w:val="left"/>
      <w:pPr>
        <w:ind w:left="4563" w:hanging="606"/>
      </w:pPr>
      <w:rPr>
        <w:rFonts w:hint="default"/>
        <w:lang w:val="zh-CN" w:eastAsia="zh-CN" w:bidi="zh-CN"/>
      </w:rPr>
    </w:lvl>
    <w:lvl w:ilvl="6" w:tentative="0">
      <w:start w:val="0"/>
      <w:numFmt w:val="bullet"/>
      <w:lvlText w:val="•"/>
      <w:lvlJc w:val="left"/>
      <w:pPr>
        <w:ind w:left="5427" w:hanging="606"/>
      </w:pPr>
      <w:rPr>
        <w:rFonts w:hint="default"/>
        <w:lang w:val="zh-CN" w:eastAsia="zh-CN" w:bidi="zh-CN"/>
      </w:rPr>
    </w:lvl>
    <w:lvl w:ilvl="7" w:tentative="0">
      <w:start w:val="0"/>
      <w:numFmt w:val="bullet"/>
      <w:lvlText w:val="•"/>
      <w:lvlJc w:val="left"/>
      <w:pPr>
        <w:ind w:left="6292" w:hanging="606"/>
      </w:pPr>
      <w:rPr>
        <w:rFonts w:hint="default"/>
        <w:lang w:val="zh-CN" w:eastAsia="zh-CN" w:bidi="zh-CN"/>
      </w:rPr>
    </w:lvl>
    <w:lvl w:ilvl="8" w:tentative="0">
      <w:start w:val="0"/>
      <w:numFmt w:val="bullet"/>
      <w:lvlText w:val="•"/>
      <w:lvlJc w:val="left"/>
      <w:pPr>
        <w:ind w:left="7157" w:hanging="606"/>
      </w:pPr>
      <w:rPr>
        <w:rFonts w:hint="default"/>
        <w:lang w:val="zh-CN" w:eastAsia="zh-CN" w:bidi="zh-CN"/>
      </w:rPr>
    </w:lvl>
  </w:abstractNum>
  <w:abstractNum w:abstractNumId="21">
    <w:nsid w:val="6A8C3B55"/>
    <w:multiLevelType w:val="multilevel"/>
    <w:tmpl w:val="6A8C3B55"/>
    <w:lvl w:ilvl="0" w:tentative="0">
      <w:start w:val="33"/>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271"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280" w:hanging="603"/>
      </w:pPr>
      <w:rPr>
        <w:rFonts w:hint="default"/>
        <w:lang w:val="zh-CN" w:eastAsia="zh-CN" w:bidi="zh-CN"/>
      </w:rPr>
    </w:lvl>
    <w:lvl w:ilvl="3" w:tentative="0">
      <w:start w:val="0"/>
      <w:numFmt w:val="bullet"/>
      <w:lvlText w:val="•"/>
      <w:lvlJc w:val="left"/>
      <w:pPr>
        <w:ind w:left="2230" w:hanging="603"/>
      </w:pPr>
      <w:rPr>
        <w:rFonts w:hint="default"/>
        <w:lang w:val="zh-CN" w:eastAsia="zh-CN" w:bidi="zh-CN"/>
      </w:rPr>
    </w:lvl>
    <w:lvl w:ilvl="4" w:tentative="0">
      <w:start w:val="0"/>
      <w:numFmt w:val="bullet"/>
      <w:lvlText w:val="•"/>
      <w:lvlJc w:val="left"/>
      <w:pPr>
        <w:ind w:left="3181" w:hanging="603"/>
      </w:pPr>
      <w:rPr>
        <w:rFonts w:hint="default"/>
        <w:lang w:val="zh-CN" w:eastAsia="zh-CN" w:bidi="zh-CN"/>
      </w:rPr>
    </w:lvl>
    <w:lvl w:ilvl="5" w:tentative="0">
      <w:start w:val="0"/>
      <w:numFmt w:val="bullet"/>
      <w:lvlText w:val="•"/>
      <w:lvlJc w:val="left"/>
      <w:pPr>
        <w:ind w:left="4132" w:hanging="603"/>
      </w:pPr>
      <w:rPr>
        <w:rFonts w:hint="default"/>
        <w:lang w:val="zh-CN" w:eastAsia="zh-CN" w:bidi="zh-CN"/>
      </w:rPr>
    </w:lvl>
    <w:lvl w:ilvl="6" w:tentative="0">
      <w:start w:val="0"/>
      <w:numFmt w:val="bullet"/>
      <w:lvlText w:val="•"/>
      <w:lvlJc w:val="left"/>
      <w:pPr>
        <w:ind w:left="5083" w:hanging="603"/>
      </w:pPr>
      <w:rPr>
        <w:rFonts w:hint="default"/>
        <w:lang w:val="zh-CN" w:eastAsia="zh-CN" w:bidi="zh-CN"/>
      </w:rPr>
    </w:lvl>
    <w:lvl w:ilvl="7" w:tentative="0">
      <w:start w:val="0"/>
      <w:numFmt w:val="bullet"/>
      <w:lvlText w:val="•"/>
      <w:lvlJc w:val="left"/>
      <w:pPr>
        <w:ind w:left="6034" w:hanging="603"/>
      </w:pPr>
      <w:rPr>
        <w:rFonts w:hint="default"/>
        <w:lang w:val="zh-CN" w:eastAsia="zh-CN" w:bidi="zh-CN"/>
      </w:rPr>
    </w:lvl>
    <w:lvl w:ilvl="8" w:tentative="0">
      <w:start w:val="0"/>
      <w:numFmt w:val="bullet"/>
      <w:lvlText w:val="•"/>
      <w:lvlJc w:val="left"/>
      <w:pPr>
        <w:ind w:left="6984" w:hanging="603"/>
      </w:pPr>
      <w:rPr>
        <w:rFonts w:hint="default"/>
        <w:lang w:val="zh-CN" w:eastAsia="zh-CN" w:bidi="zh-CN"/>
      </w:rPr>
    </w:lvl>
  </w:abstractNum>
  <w:num w:numId="1">
    <w:abstractNumId w:val="0"/>
  </w:num>
  <w:num w:numId="2">
    <w:abstractNumId w:val="15"/>
  </w:num>
  <w:num w:numId="3">
    <w:abstractNumId w:val="1"/>
  </w:num>
  <w:num w:numId="4">
    <w:abstractNumId w:val="11"/>
  </w:num>
  <w:num w:numId="5">
    <w:abstractNumId w:val="7"/>
  </w:num>
  <w:num w:numId="6">
    <w:abstractNumId w:val="4"/>
  </w:num>
  <w:num w:numId="7">
    <w:abstractNumId w:val="3"/>
  </w:num>
  <w:num w:numId="8">
    <w:abstractNumId w:val="8"/>
  </w:num>
  <w:num w:numId="9">
    <w:abstractNumId w:val="5"/>
  </w:num>
  <w:num w:numId="10">
    <w:abstractNumId w:val="9"/>
  </w:num>
  <w:num w:numId="11">
    <w:abstractNumId w:val="12"/>
  </w:num>
  <w:num w:numId="12">
    <w:abstractNumId w:val="2"/>
  </w:num>
  <w:num w:numId="13">
    <w:abstractNumId w:val="16"/>
  </w:num>
  <w:num w:numId="14">
    <w:abstractNumId w:val="6"/>
  </w:num>
  <w:num w:numId="15">
    <w:abstractNumId w:val="14"/>
  </w:num>
  <w:num w:numId="16">
    <w:abstractNumId w:val="21"/>
  </w:num>
  <w:num w:numId="17">
    <w:abstractNumId w:val="19"/>
  </w:num>
  <w:num w:numId="18">
    <w:abstractNumId w:val="17"/>
  </w:num>
  <w:num w:numId="19">
    <w:abstractNumId w:val="20"/>
  </w:num>
  <w:num w:numId="20">
    <w:abstractNumId w:val="13"/>
  </w:num>
  <w:num w:numId="21">
    <w:abstractNumId w:val="1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FjZTRiYjgzNGQ5MDI5NDI0ODQ3OWIzZDRjYjA0OWMifQ=="/>
  </w:docVars>
  <w:rsids>
    <w:rsidRoot w:val="00C43249"/>
    <w:rsid w:val="00000892"/>
    <w:rsid w:val="000B6976"/>
    <w:rsid w:val="000C09B9"/>
    <w:rsid w:val="0011265A"/>
    <w:rsid w:val="00113A08"/>
    <w:rsid w:val="0019334A"/>
    <w:rsid w:val="001F4145"/>
    <w:rsid w:val="0022151D"/>
    <w:rsid w:val="002843FB"/>
    <w:rsid w:val="002D5328"/>
    <w:rsid w:val="0031322A"/>
    <w:rsid w:val="00372669"/>
    <w:rsid w:val="003C4B14"/>
    <w:rsid w:val="003E31F0"/>
    <w:rsid w:val="003E4667"/>
    <w:rsid w:val="004044A6"/>
    <w:rsid w:val="0041722E"/>
    <w:rsid w:val="00422D23"/>
    <w:rsid w:val="00435F09"/>
    <w:rsid w:val="004B13B3"/>
    <w:rsid w:val="00522242"/>
    <w:rsid w:val="00563B27"/>
    <w:rsid w:val="005C4350"/>
    <w:rsid w:val="005D6476"/>
    <w:rsid w:val="005D6D34"/>
    <w:rsid w:val="00655F57"/>
    <w:rsid w:val="00680245"/>
    <w:rsid w:val="0070621A"/>
    <w:rsid w:val="00722920"/>
    <w:rsid w:val="007238B9"/>
    <w:rsid w:val="007B7F26"/>
    <w:rsid w:val="00800410"/>
    <w:rsid w:val="00820D1A"/>
    <w:rsid w:val="00832CE1"/>
    <w:rsid w:val="008B1BF6"/>
    <w:rsid w:val="008E11AD"/>
    <w:rsid w:val="00931BF4"/>
    <w:rsid w:val="00961B75"/>
    <w:rsid w:val="00996719"/>
    <w:rsid w:val="009A5A64"/>
    <w:rsid w:val="009A70A5"/>
    <w:rsid w:val="009D5E4C"/>
    <w:rsid w:val="00A22B63"/>
    <w:rsid w:val="00AB2E42"/>
    <w:rsid w:val="00AC6330"/>
    <w:rsid w:val="00AD0179"/>
    <w:rsid w:val="00AE1E6C"/>
    <w:rsid w:val="00B2004C"/>
    <w:rsid w:val="00B76C59"/>
    <w:rsid w:val="00B869EB"/>
    <w:rsid w:val="00BC6810"/>
    <w:rsid w:val="00C0354A"/>
    <w:rsid w:val="00C4273B"/>
    <w:rsid w:val="00C43249"/>
    <w:rsid w:val="00C82747"/>
    <w:rsid w:val="00CC2D31"/>
    <w:rsid w:val="00D57893"/>
    <w:rsid w:val="00D86259"/>
    <w:rsid w:val="00DB673D"/>
    <w:rsid w:val="00DB718C"/>
    <w:rsid w:val="00DC6813"/>
    <w:rsid w:val="00DD31D6"/>
    <w:rsid w:val="00E01C14"/>
    <w:rsid w:val="00E46DD4"/>
    <w:rsid w:val="00E83E7E"/>
    <w:rsid w:val="00E923BE"/>
    <w:rsid w:val="00E95030"/>
    <w:rsid w:val="00F97F30"/>
    <w:rsid w:val="00FC0504"/>
    <w:rsid w:val="00FC196A"/>
    <w:rsid w:val="017A42BD"/>
    <w:rsid w:val="047168CE"/>
    <w:rsid w:val="062D068A"/>
    <w:rsid w:val="07EF1E12"/>
    <w:rsid w:val="090270CE"/>
    <w:rsid w:val="0B117007"/>
    <w:rsid w:val="0EB43182"/>
    <w:rsid w:val="142A08DA"/>
    <w:rsid w:val="20E01732"/>
    <w:rsid w:val="22FB0ACA"/>
    <w:rsid w:val="24E62A73"/>
    <w:rsid w:val="253B6486"/>
    <w:rsid w:val="2F844F68"/>
    <w:rsid w:val="33F80695"/>
    <w:rsid w:val="34647191"/>
    <w:rsid w:val="3545652A"/>
    <w:rsid w:val="36156FDB"/>
    <w:rsid w:val="36F377E2"/>
    <w:rsid w:val="37E43158"/>
    <w:rsid w:val="3B864792"/>
    <w:rsid w:val="3D561F3F"/>
    <w:rsid w:val="4B291605"/>
    <w:rsid w:val="4F3B50DC"/>
    <w:rsid w:val="4F525368"/>
    <w:rsid w:val="5150070F"/>
    <w:rsid w:val="5DF115DC"/>
    <w:rsid w:val="623E4530"/>
    <w:rsid w:val="62E22A59"/>
    <w:rsid w:val="6604581D"/>
    <w:rsid w:val="6634298E"/>
    <w:rsid w:val="682815CA"/>
    <w:rsid w:val="6A476CF3"/>
    <w:rsid w:val="6B341D83"/>
    <w:rsid w:val="6D05767B"/>
    <w:rsid w:val="70503520"/>
    <w:rsid w:val="78EE1926"/>
    <w:rsid w:val="7AF86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1" w:semiHidden="0" w:name="heading 2"/>
    <w:lsdException w:qFormat="1" w:uiPriority="9" w:semiHidden="0" w:name="heading 3"/>
    <w:lsdException w:qFormat="1"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qFormat="1"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38"/>
    <w:qFormat/>
    <w:uiPriority w:val="1"/>
    <w:pPr>
      <w:keepNext/>
      <w:keepLines/>
      <w:spacing w:before="340" w:after="330" w:line="576" w:lineRule="auto"/>
      <w:outlineLvl w:val="0"/>
    </w:pPr>
    <w:rPr>
      <w:b/>
      <w:bCs/>
      <w:kern w:val="44"/>
      <w:sz w:val="44"/>
      <w:szCs w:val="44"/>
    </w:rPr>
  </w:style>
  <w:style w:type="paragraph" w:styleId="4">
    <w:name w:val="heading 2"/>
    <w:basedOn w:val="1"/>
    <w:next w:val="1"/>
    <w:link w:val="39"/>
    <w:unhideWhenUsed/>
    <w:qFormat/>
    <w:uiPriority w:val="1"/>
    <w:pPr>
      <w:keepNext/>
      <w:keepLines/>
      <w:spacing w:before="260" w:after="260" w:line="412" w:lineRule="auto"/>
      <w:outlineLvl w:val="1"/>
    </w:pPr>
    <w:rPr>
      <w:rFonts w:ascii="Arial" w:hAnsi="Arial" w:eastAsia="黑体" w:cs="Arial"/>
      <w:b/>
      <w:bCs/>
      <w:sz w:val="32"/>
      <w:szCs w:val="32"/>
    </w:rPr>
  </w:style>
  <w:style w:type="paragraph" w:styleId="5">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2"/>
    <w:unhideWhenUsed/>
    <w:qFormat/>
    <w:uiPriority w:val="1"/>
    <w:pPr>
      <w:keepNext/>
      <w:keepLines/>
      <w:spacing w:before="104" w:after="290" w:line="360" w:lineRule="auto"/>
      <w:ind w:left="1366" w:right="1503"/>
      <w:jc w:val="center"/>
      <w:outlineLvl w:val="3"/>
    </w:pPr>
    <w:rPr>
      <w:rFonts w:ascii="Cambria" w:hAnsi="Cambria"/>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4"/>
    <w:qFormat/>
    <w:uiPriority w:val="1"/>
    <w:pPr>
      <w:autoSpaceDE w:val="0"/>
      <w:autoSpaceDN w:val="0"/>
      <w:jc w:val="left"/>
    </w:pPr>
    <w:rPr>
      <w:rFonts w:ascii="宋体" w:hAnsi="宋体" w:cs="宋体"/>
      <w:kern w:val="0"/>
      <w:sz w:val="24"/>
      <w:szCs w:val="24"/>
      <w:lang w:val="zh-CN" w:bidi="zh-CN"/>
    </w:rPr>
  </w:style>
  <w:style w:type="paragraph" w:styleId="7">
    <w:name w:val="annotation text"/>
    <w:basedOn w:val="1"/>
    <w:next w:val="1"/>
    <w:link w:val="49"/>
    <w:semiHidden/>
    <w:unhideWhenUsed/>
    <w:qFormat/>
    <w:uiPriority w:val="99"/>
    <w:pPr>
      <w:jc w:val="left"/>
    </w:pPr>
    <w:rPr>
      <w:kern w:val="0"/>
      <w:sz w:val="20"/>
    </w:rPr>
  </w:style>
  <w:style w:type="paragraph" w:styleId="8">
    <w:name w:val="Body Text Indent"/>
    <w:basedOn w:val="1"/>
    <w:next w:val="9"/>
    <w:qFormat/>
    <w:uiPriority w:val="0"/>
    <w:pPr>
      <w:ind w:firstLine="600"/>
    </w:pPr>
    <w:rPr>
      <w:rFonts w:ascii="Arial" w:hAnsi="Arial" w:eastAsia="仿宋_GB2312"/>
      <w:sz w:val="28"/>
    </w:rPr>
  </w:style>
  <w:style w:type="paragraph" w:styleId="9">
    <w:name w:val="envelope return"/>
    <w:basedOn w:val="1"/>
    <w:qFormat/>
    <w:uiPriority w:val="99"/>
    <w:pPr>
      <w:snapToGrid w:val="0"/>
    </w:pPr>
    <w:rPr>
      <w:rFonts w:ascii="Arial" w:hAnsi="Arial"/>
    </w:rPr>
  </w:style>
  <w:style w:type="paragraph" w:styleId="10">
    <w:name w:val="Plain Text"/>
    <w:basedOn w:val="1"/>
    <w:link w:val="41"/>
    <w:unhideWhenUsed/>
    <w:qFormat/>
    <w:uiPriority w:val="0"/>
    <w:rPr>
      <w:rFonts w:ascii="宋体" w:hAnsi="Courier New"/>
      <w:szCs w:val="22"/>
    </w:rPr>
  </w:style>
  <w:style w:type="paragraph" w:styleId="11">
    <w:name w:val="Balloon Text"/>
    <w:basedOn w:val="1"/>
    <w:link w:val="37"/>
    <w:semiHidden/>
    <w:unhideWhenUsed/>
    <w:qFormat/>
    <w:uiPriority w:val="99"/>
    <w:rPr>
      <w:sz w:val="18"/>
      <w:szCs w:val="18"/>
    </w:rPr>
  </w:style>
  <w:style w:type="paragraph" w:styleId="12">
    <w:name w:val="footer"/>
    <w:basedOn w:val="1"/>
    <w:link w:val="32"/>
    <w:unhideWhenUsed/>
    <w:qFormat/>
    <w:uiPriority w:val="99"/>
    <w:pPr>
      <w:tabs>
        <w:tab w:val="center" w:pos="4153"/>
        <w:tab w:val="right" w:pos="8306"/>
      </w:tabs>
      <w:snapToGrid w:val="0"/>
      <w:jc w:val="left"/>
    </w:pPr>
    <w:rPr>
      <w:sz w:val="18"/>
      <w:szCs w:val="18"/>
    </w:rPr>
  </w:style>
  <w:style w:type="paragraph" w:styleId="13">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semiHidden/>
    <w:unhideWhenUsed/>
    <w:qFormat/>
    <w:uiPriority w:val="39"/>
  </w:style>
  <w:style w:type="paragraph" w:styleId="15">
    <w:name w:val="footnote text"/>
    <w:basedOn w:val="1"/>
    <w:link w:val="52"/>
    <w:semiHidden/>
    <w:unhideWhenUsed/>
    <w:qFormat/>
    <w:uiPriority w:val="99"/>
    <w:pPr>
      <w:snapToGrid w:val="0"/>
      <w:jc w:val="left"/>
    </w:pPr>
    <w:rPr>
      <w:sz w:val="18"/>
      <w:szCs w:val="18"/>
    </w:rPr>
  </w:style>
  <w:style w:type="paragraph" w:styleId="16">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17">
    <w:name w:val="Body Text First Indent 2"/>
    <w:basedOn w:val="8"/>
    <w:next w:val="2"/>
    <w:qFormat/>
    <w:uiPriority w:val="99"/>
    <w:pPr>
      <w:tabs>
        <w:tab w:val="left" w:pos="0"/>
        <w:tab w:val="left" w:pos="993"/>
        <w:tab w:val="left" w:pos="1134"/>
      </w:tabs>
      <w:ind w:firstLine="420" w:firstLineChars="200"/>
    </w:pPr>
  </w:style>
  <w:style w:type="table" w:styleId="19">
    <w:name w:val="Table Grid"/>
    <w:basedOn w:val="1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basedOn w:val="20"/>
    <w:semiHidden/>
    <w:unhideWhenUsed/>
    <w:qFormat/>
    <w:uiPriority w:val="99"/>
    <w:rPr>
      <w:rFonts w:hint="eastAsia" w:ascii="微软雅黑" w:hAnsi="微软雅黑" w:eastAsia="微软雅黑" w:cs="微软雅黑"/>
      <w:color w:val="02396F"/>
      <w:u w:val="single"/>
    </w:rPr>
  </w:style>
  <w:style w:type="character" w:styleId="22">
    <w:name w:val="Hyperlink"/>
    <w:qFormat/>
    <w:uiPriority w:val="99"/>
    <w:rPr>
      <w:color w:val="0000FF"/>
      <w:u w:val="none"/>
    </w:rPr>
  </w:style>
  <w:style w:type="character" w:styleId="23">
    <w:name w:val="annotation reference"/>
    <w:qFormat/>
    <w:uiPriority w:val="99"/>
    <w:rPr>
      <w:rFonts w:cs="Times New Roman"/>
      <w:sz w:val="21"/>
    </w:rPr>
  </w:style>
  <w:style w:type="character" w:styleId="24">
    <w:name w:val="footnote reference"/>
    <w:semiHidden/>
    <w:unhideWhenUsed/>
    <w:qFormat/>
    <w:uiPriority w:val="99"/>
    <w:rPr>
      <w:vertAlign w:val="superscript"/>
    </w:rPr>
  </w:style>
  <w:style w:type="character" w:customStyle="1" w:styleId="25">
    <w:name w:val="标题 1 字符"/>
    <w:basedOn w:val="20"/>
    <w:qFormat/>
    <w:uiPriority w:val="9"/>
    <w:rPr>
      <w:rFonts w:ascii="Times New Roman" w:hAnsi="Times New Roman" w:eastAsia="宋体" w:cs="Times New Roman"/>
      <w:b/>
      <w:bCs/>
      <w:kern w:val="44"/>
      <w:sz w:val="44"/>
      <w:szCs w:val="44"/>
    </w:rPr>
  </w:style>
  <w:style w:type="character" w:customStyle="1" w:styleId="26">
    <w:name w:val="标题 2 字符"/>
    <w:basedOn w:val="20"/>
    <w:semiHidden/>
    <w:qFormat/>
    <w:uiPriority w:val="9"/>
    <w:rPr>
      <w:rFonts w:asciiTheme="majorHAnsi" w:hAnsiTheme="majorHAnsi" w:eastAsiaTheme="majorEastAsia" w:cstheme="majorBidi"/>
      <w:b/>
      <w:bCs/>
      <w:sz w:val="32"/>
      <w:szCs w:val="32"/>
    </w:rPr>
  </w:style>
  <w:style w:type="character" w:customStyle="1" w:styleId="27">
    <w:name w:val="标题 3 字符"/>
    <w:basedOn w:val="20"/>
    <w:semiHidden/>
    <w:qFormat/>
    <w:uiPriority w:val="9"/>
    <w:rPr>
      <w:rFonts w:ascii="Times New Roman" w:hAnsi="Times New Roman" w:eastAsia="宋体" w:cs="Times New Roman"/>
      <w:b/>
      <w:bCs/>
      <w:sz w:val="32"/>
      <w:szCs w:val="32"/>
    </w:rPr>
  </w:style>
  <w:style w:type="character" w:customStyle="1" w:styleId="28">
    <w:name w:val="标题 4 字符"/>
    <w:basedOn w:val="20"/>
    <w:semiHidden/>
    <w:qFormat/>
    <w:uiPriority w:val="9"/>
    <w:rPr>
      <w:rFonts w:asciiTheme="majorHAnsi" w:hAnsiTheme="majorHAnsi" w:eastAsiaTheme="majorEastAsia" w:cstheme="majorBidi"/>
      <w:b/>
      <w:bCs/>
      <w:sz w:val="28"/>
      <w:szCs w:val="28"/>
    </w:rPr>
  </w:style>
  <w:style w:type="character" w:customStyle="1" w:styleId="29">
    <w:name w:val="页眉 字符"/>
    <w:basedOn w:val="20"/>
    <w:semiHidden/>
    <w:qFormat/>
    <w:uiPriority w:val="99"/>
    <w:rPr>
      <w:rFonts w:ascii="Times New Roman" w:hAnsi="Times New Roman" w:eastAsia="宋体" w:cs="Times New Roman"/>
      <w:sz w:val="18"/>
      <w:szCs w:val="18"/>
    </w:rPr>
  </w:style>
  <w:style w:type="character" w:customStyle="1" w:styleId="30">
    <w:name w:val="页眉 字符1"/>
    <w:link w:val="13"/>
    <w:qFormat/>
    <w:uiPriority w:val="99"/>
    <w:rPr>
      <w:rFonts w:ascii="Times New Roman" w:hAnsi="Times New Roman" w:eastAsia="宋体" w:cs="Times New Roman"/>
      <w:sz w:val="18"/>
      <w:szCs w:val="18"/>
    </w:rPr>
  </w:style>
  <w:style w:type="character" w:customStyle="1" w:styleId="31">
    <w:name w:val="页脚 字符"/>
    <w:basedOn w:val="20"/>
    <w:semiHidden/>
    <w:qFormat/>
    <w:uiPriority w:val="99"/>
    <w:rPr>
      <w:rFonts w:ascii="Times New Roman" w:hAnsi="Times New Roman" w:eastAsia="宋体" w:cs="Times New Roman"/>
      <w:sz w:val="18"/>
      <w:szCs w:val="18"/>
    </w:rPr>
  </w:style>
  <w:style w:type="character" w:customStyle="1" w:styleId="32">
    <w:name w:val="页脚 字符1"/>
    <w:link w:val="12"/>
    <w:qFormat/>
    <w:uiPriority w:val="99"/>
    <w:rPr>
      <w:rFonts w:ascii="Times New Roman" w:hAnsi="Times New Roman" w:eastAsia="宋体" w:cs="Times New Roman"/>
      <w:sz w:val="18"/>
      <w:szCs w:val="18"/>
    </w:rPr>
  </w:style>
  <w:style w:type="character" w:customStyle="1" w:styleId="33">
    <w:name w:val="style3"/>
    <w:qFormat/>
    <w:uiPriority w:val="0"/>
  </w:style>
  <w:style w:type="paragraph" w:customStyle="1" w:styleId="34">
    <w:name w:val="_Style 18"/>
    <w:basedOn w:val="1"/>
    <w:next w:val="35"/>
    <w:qFormat/>
    <w:uiPriority w:val="1"/>
    <w:pPr>
      <w:autoSpaceDE w:val="0"/>
      <w:autoSpaceDN w:val="0"/>
      <w:ind w:left="234" w:firstLine="434"/>
      <w:jc w:val="left"/>
    </w:pPr>
    <w:rPr>
      <w:rFonts w:ascii="宋体" w:hAnsi="宋体" w:cs="宋体"/>
      <w:kern w:val="0"/>
      <w:sz w:val="22"/>
      <w:szCs w:val="22"/>
      <w:lang w:val="zh-CN" w:bidi="zh-CN"/>
    </w:rPr>
  </w:style>
  <w:style w:type="paragraph" w:styleId="35">
    <w:name w:val="List Paragraph"/>
    <w:basedOn w:val="1"/>
    <w:qFormat/>
    <w:uiPriority w:val="34"/>
    <w:pPr>
      <w:ind w:firstLine="420" w:firstLineChars="200"/>
    </w:pPr>
  </w:style>
  <w:style w:type="character" w:customStyle="1" w:styleId="36">
    <w:name w:val="批注框文本 字符"/>
    <w:basedOn w:val="20"/>
    <w:semiHidden/>
    <w:qFormat/>
    <w:uiPriority w:val="99"/>
    <w:rPr>
      <w:rFonts w:ascii="Times New Roman" w:hAnsi="Times New Roman" w:eastAsia="宋体" w:cs="Times New Roman"/>
      <w:sz w:val="18"/>
      <w:szCs w:val="18"/>
    </w:rPr>
  </w:style>
  <w:style w:type="character" w:customStyle="1" w:styleId="37">
    <w:name w:val="批注框文本 字符1"/>
    <w:link w:val="11"/>
    <w:semiHidden/>
    <w:qFormat/>
    <w:uiPriority w:val="99"/>
    <w:rPr>
      <w:rFonts w:ascii="Times New Roman" w:hAnsi="Times New Roman" w:eastAsia="宋体" w:cs="Times New Roman"/>
      <w:sz w:val="18"/>
      <w:szCs w:val="18"/>
    </w:rPr>
  </w:style>
  <w:style w:type="character" w:customStyle="1" w:styleId="38">
    <w:name w:val="标题 1 字符1"/>
    <w:link w:val="3"/>
    <w:qFormat/>
    <w:uiPriority w:val="1"/>
    <w:rPr>
      <w:rFonts w:ascii="Times New Roman" w:hAnsi="Times New Roman" w:eastAsia="宋体" w:cs="Times New Roman"/>
      <w:b/>
      <w:bCs/>
      <w:kern w:val="44"/>
      <w:sz w:val="44"/>
      <w:szCs w:val="44"/>
    </w:rPr>
  </w:style>
  <w:style w:type="character" w:customStyle="1" w:styleId="39">
    <w:name w:val="标题 2 字符1"/>
    <w:link w:val="4"/>
    <w:qFormat/>
    <w:uiPriority w:val="1"/>
    <w:rPr>
      <w:rFonts w:ascii="Arial" w:hAnsi="Arial" w:eastAsia="黑体" w:cs="Arial"/>
      <w:b/>
      <w:bCs/>
      <w:sz w:val="32"/>
      <w:szCs w:val="32"/>
    </w:rPr>
  </w:style>
  <w:style w:type="character" w:customStyle="1" w:styleId="40">
    <w:name w:val="纯文本 字符"/>
    <w:basedOn w:val="20"/>
    <w:semiHidden/>
    <w:qFormat/>
    <w:uiPriority w:val="99"/>
    <w:rPr>
      <w:rFonts w:hAnsi="Courier New" w:cs="Courier New" w:asciiTheme="minorEastAsia"/>
      <w:szCs w:val="21"/>
    </w:rPr>
  </w:style>
  <w:style w:type="character" w:customStyle="1" w:styleId="41">
    <w:name w:val="纯文本 字符1"/>
    <w:link w:val="10"/>
    <w:qFormat/>
    <w:uiPriority w:val="0"/>
    <w:rPr>
      <w:rFonts w:ascii="宋体" w:hAnsi="Courier New" w:eastAsia="宋体" w:cs="Times New Roman"/>
    </w:rPr>
  </w:style>
  <w:style w:type="character" w:customStyle="1" w:styleId="42">
    <w:name w:val="标题 4 字符1"/>
    <w:link w:val="6"/>
    <w:qFormat/>
    <w:uiPriority w:val="1"/>
    <w:rPr>
      <w:rFonts w:ascii="Cambria" w:hAnsi="Cambria" w:eastAsia="宋体" w:cs="Times New Roman"/>
      <w:b/>
      <w:bCs/>
      <w:sz w:val="28"/>
      <w:szCs w:val="28"/>
    </w:rPr>
  </w:style>
  <w:style w:type="character" w:customStyle="1" w:styleId="43">
    <w:name w:val="正文文本 字符"/>
    <w:basedOn w:val="20"/>
    <w:semiHidden/>
    <w:qFormat/>
    <w:uiPriority w:val="99"/>
    <w:rPr>
      <w:rFonts w:ascii="Times New Roman" w:hAnsi="Times New Roman" w:eastAsia="宋体" w:cs="Times New Roman"/>
      <w:szCs w:val="21"/>
    </w:rPr>
  </w:style>
  <w:style w:type="character" w:customStyle="1" w:styleId="44">
    <w:name w:val="正文文本 字符1"/>
    <w:link w:val="2"/>
    <w:qFormat/>
    <w:uiPriority w:val="1"/>
    <w:rPr>
      <w:rFonts w:ascii="宋体" w:hAnsi="宋体" w:eastAsia="宋体" w:cs="宋体"/>
      <w:kern w:val="0"/>
      <w:sz w:val="24"/>
      <w:szCs w:val="24"/>
      <w:lang w:val="zh-CN" w:bidi="zh-CN"/>
    </w:rPr>
  </w:style>
  <w:style w:type="table" w:customStyle="1" w:styleId="45">
    <w:name w:val="Table Normal"/>
    <w:semiHidden/>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46">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47">
    <w:name w:val="标题 3 字符1"/>
    <w:link w:val="5"/>
    <w:qFormat/>
    <w:uiPriority w:val="9"/>
    <w:rPr>
      <w:rFonts w:ascii="Times New Roman" w:hAnsi="Times New Roman" w:eastAsia="宋体" w:cs="Times New Roman"/>
      <w:b/>
      <w:bCs/>
      <w:sz w:val="32"/>
      <w:szCs w:val="32"/>
    </w:rPr>
  </w:style>
  <w:style w:type="character" w:customStyle="1" w:styleId="48">
    <w:name w:val="批注文字 字符"/>
    <w:basedOn w:val="20"/>
    <w:semiHidden/>
    <w:qFormat/>
    <w:uiPriority w:val="99"/>
    <w:rPr>
      <w:rFonts w:ascii="Times New Roman" w:hAnsi="Times New Roman" w:eastAsia="宋体" w:cs="Times New Roman"/>
      <w:szCs w:val="21"/>
    </w:rPr>
  </w:style>
  <w:style w:type="character" w:customStyle="1" w:styleId="49">
    <w:name w:val="批注文字 字符1"/>
    <w:link w:val="7"/>
    <w:semiHidden/>
    <w:qFormat/>
    <w:uiPriority w:val="99"/>
    <w:rPr>
      <w:rFonts w:ascii="Times New Roman" w:hAnsi="Times New Roman" w:eastAsia="宋体" w:cs="Times New Roman"/>
      <w:kern w:val="0"/>
      <w:sz w:val="20"/>
      <w:szCs w:val="21"/>
    </w:rPr>
  </w:style>
  <w:style w:type="paragraph" w:customStyle="1" w:styleId="50">
    <w:name w:val="p15"/>
    <w:basedOn w:val="1"/>
    <w:next w:val="7"/>
    <w:qFormat/>
    <w:uiPriority w:val="99"/>
    <w:pPr>
      <w:widowControl/>
    </w:pPr>
    <w:rPr>
      <w:kern w:val="0"/>
    </w:rPr>
  </w:style>
  <w:style w:type="character" w:customStyle="1" w:styleId="51">
    <w:name w:val="脚注文本 字符"/>
    <w:basedOn w:val="20"/>
    <w:semiHidden/>
    <w:qFormat/>
    <w:uiPriority w:val="99"/>
    <w:rPr>
      <w:rFonts w:ascii="Times New Roman" w:hAnsi="Times New Roman" w:eastAsia="宋体" w:cs="Times New Roman"/>
      <w:sz w:val="18"/>
      <w:szCs w:val="18"/>
    </w:rPr>
  </w:style>
  <w:style w:type="character" w:customStyle="1" w:styleId="52">
    <w:name w:val="脚注文本 字符1"/>
    <w:link w:val="15"/>
    <w:semiHidden/>
    <w:qFormat/>
    <w:uiPriority w:val="99"/>
    <w:rPr>
      <w:rFonts w:ascii="Times New Roman" w:hAnsi="Times New Roman" w:eastAsia="宋体" w:cs="Times New Roman"/>
      <w:sz w:val="18"/>
      <w:szCs w:val="18"/>
    </w:rPr>
  </w:style>
  <w:style w:type="character" w:customStyle="1" w:styleId="53">
    <w:name w:val="未处理的提及1"/>
    <w:basedOn w:val="20"/>
    <w:semiHidden/>
    <w:unhideWhenUsed/>
    <w:qFormat/>
    <w:uiPriority w:val="99"/>
    <w:rPr>
      <w:color w:val="605E5C"/>
      <w:shd w:val="clear" w:color="auto" w:fill="E1DFDD"/>
    </w:rPr>
  </w:style>
  <w:style w:type="character" w:customStyle="1" w:styleId="54">
    <w:name w:val="prev"/>
    <w:basedOn w:val="20"/>
    <w:qFormat/>
    <w:uiPriority w:val="0"/>
    <w:rPr>
      <w:rFonts w:ascii="微软雅黑" w:hAnsi="微软雅黑" w:eastAsia="微软雅黑" w:cs="微软雅黑"/>
      <w:sz w:val="21"/>
      <w:szCs w:val="21"/>
    </w:rPr>
  </w:style>
  <w:style w:type="character" w:customStyle="1" w:styleId="55">
    <w:name w:val="prev1"/>
    <w:basedOn w:val="20"/>
    <w:qFormat/>
    <w:uiPriority w:val="0"/>
    <w:rPr>
      <w:color w:val="888888"/>
    </w:rPr>
  </w:style>
  <w:style w:type="character" w:customStyle="1" w:styleId="56">
    <w:name w:val="qxdate"/>
    <w:basedOn w:val="20"/>
    <w:qFormat/>
    <w:uiPriority w:val="0"/>
    <w:rPr>
      <w:color w:val="333333"/>
      <w:sz w:val="18"/>
      <w:szCs w:val="18"/>
    </w:rPr>
  </w:style>
  <w:style w:type="character" w:customStyle="1" w:styleId="57">
    <w:name w:val="cfdate"/>
    <w:basedOn w:val="20"/>
    <w:qFormat/>
    <w:uiPriority w:val="0"/>
    <w:rPr>
      <w:color w:val="333333"/>
      <w:sz w:val="18"/>
      <w:szCs w:val="18"/>
    </w:rPr>
  </w:style>
  <w:style w:type="character" w:customStyle="1" w:styleId="58">
    <w:name w:val="redfilefwwh"/>
    <w:basedOn w:val="20"/>
    <w:qFormat/>
    <w:uiPriority w:val="0"/>
    <w:rPr>
      <w:color w:val="BA2636"/>
      <w:sz w:val="18"/>
      <w:szCs w:val="18"/>
    </w:rPr>
  </w:style>
  <w:style w:type="character" w:customStyle="1" w:styleId="59">
    <w:name w:val="displayarti"/>
    <w:basedOn w:val="20"/>
    <w:qFormat/>
    <w:uiPriority w:val="0"/>
    <w:rPr>
      <w:color w:val="FFFFFF"/>
      <w:shd w:val="clear" w:fill="A00000"/>
    </w:rPr>
  </w:style>
  <w:style w:type="character" w:customStyle="1" w:styleId="60">
    <w:name w:val="redfilenumber"/>
    <w:basedOn w:val="20"/>
    <w:qFormat/>
    <w:uiPriority w:val="0"/>
    <w:rPr>
      <w:color w:val="BA2636"/>
      <w:sz w:val="18"/>
      <w:szCs w:val="18"/>
    </w:rPr>
  </w:style>
  <w:style w:type="character" w:customStyle="1" w:styleId="61">
    <w:name w:val="gjfg"/>
    <w:basedOn w:val="20"/>
    <w:qFormat/>
    <w:uiPriority w:val="0"/>
  </w:style>
  <w:style w:type="character" w:customStyle="1" w:styleId="62">
    <w:name w:val="next"/>
    <w:basedOn w:val="20"/>
    <w:qFormat/>
    <w:uiPriority w:val="0"/>
    <w:rPr>
      <w:rFonts w:hint="eastAsia" w:ascii="微软雅黑" w:hAnsi="微软雅黑" w:eastAsia="微软雅黑" w:cs="微软雅黑"/>
      <w:sz w:val="21"/>
      <w:szCs w:val="21"/>
    </w:rPr>
  </w:style>
  <w:style w:type="character" w:customStyle="1" w:styleId="63">
    <w:name w:val="next1"/>
    <w:basedOn w:val="20"/>
    <w:qFormat/>
    <w:uiPriority w:val="0"/>
    <w:rPr>
      <w:color w:val="888888"/>
    </w:rPr>
  </w:style>
  <w:style w:type="character" w:customStyle="1" w:styleId="64">
    <w:name w:val="prev2"/>
    <w:basedOn w:val="20"/>
    <w:qFormat/>
    <w:uiPriority w:val="0"/>
    <w:rPr>
      <w:color w:val="888888"/>
    </w:rPr>
  </w:style>
  <w:style w:type="character" w:customStyle="1" w:styleId="65">
    <w:name w:val="prev3"/>
    <w:basedOn w:val="20"/>
    <w:qFormat/>
    <w:uiPriority w:val="0"/>
    <w:rPr>
      <w:rFonts w:hint="eastAsia" w:ascii="微软雅黑" w:hAnsi="微软雅黑" w:eastAsia="微软雅黑" w:cs="微软雅黑"/>
      <w:sz w:val="21"/>
      <w:szCs w:val="21"/>
    </w:rPr>
  </w:style>
  <w:style w:type="character" w:customStyle="1" w:styleId="66">
    <w:name w:val="next2"/>
    <w:basedOn w:val="20"/>
    <w:qFormat/>
    <w:uiPriority w:val="0"/>
    <w:rPr>
      <w:color w:val="888888"/>
    </w:rPr>
  </w:style>
  <w:style w:type="character" w:customStyle="1" w:styleId="67">
    <w:name w:val="next3"/>
    <w:basedOn w:val="20"/>
    <w:qFormat/>
    <w:uiPriority w:val="0"/>
    <w:rPr>
      <w:rFonts w:hint="eastAsia" w:ascii="微软雅黑" w:hAnsi="微软雅黑" w:eastAsia="微软雅黑" w:cs="微软雅黑"/>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17871</Words>
  <Characters>18134</Characters>
  <Lines>161</Lines>
  <Paragraphs>45</Paragraphs>
  <TotalTime>79</TotalTime>
  <ScaleCrop>false</ScaleCrop>
  <LinksUpToDate>false</LinksUpToDate>
  <CharactersWithSpaces>19091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2021-12-24T09:02:00Z</dcterms:created>
  <dc:creator>1003361610@qq.com</dc:creator>
  <cp:lastModifiedBy>刘梦雅</cp:lastModifiedBy>
  <cp:lastPrinted>2022-04-24T00:01:00Z</cp:lastPrinted>
  <dcterms:modified xsi:type="dcterms:W3CDTF">2022-11-25T03:02:52Z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E9A404ACDAE14CC68069CDAE02B43136</vt:lpwstr>
  </property>
</Properties>
</file>