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DA6ED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资产、资源名称：</w:t>
      </w:r>
      <w:r>
        <w:rPr>
          <w:sz w:val="28"/>
          <w:szCs w:val="36"/>
        </w:rPr>
        <w:t xml:space="preserve"> </w:t>
      </w:r>
      <w:r>
        <w:rPr>
          <w:rFonts w:hint="eastAsia"/>
          <w:sz w:val="28"/>
          <w:szCs w:val="36"/>
        </w:rPr>
        <w:t>康新河</w:t>
      </w:r>
    </w:p>
    <w:p w14:paraId="24E9B98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资产、资源类型：公共服务</w:t>
      </w:r>
    </w:p>
    <w:p w14:paraId="357E3074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购建时间：</w:t>
      </w:r>
    </w:p>
    <w:p w14:paraId="45159A85"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坐落位置：</w:t>
      </w:r>
      <w:r>
        <w:rPr>
          <w:rFonts w:hint="eastAsia"/>
          <w:sz w:val="28"/>
          <w:szCs w:val="36"/>
          <w:lang w:eastAsia="zh-CN"/>
        </w:rPr>
        <w:t>前炉社区前炉小学西侧</w:t>
      </w:r>
    </w:p>
    <w:p w14:paraId="68D5CBFC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资产、资源面积：</w:t>
      </w:r>
      <w:r>
        <w:rPr>
          <w:sz w:val="28"/>
          <w:szCs w:val="36"/>
        </w:rPr>
        <w:t xml:space="preserve"> 29694</w:t>
      </w:r>
      <w:r>
        <w:rPr>
          <w:rFonts w:hint="eastAsia"/>
          <w:sz w:val="28"/>
          <w:szCs w:val="36"/>
        </w:rPr>
        <w:t>㎡</w:t>
      </w:r>
    </w:p>
    <w:p w14:paraId="2161B043"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权属单位：颍州区袁集镇前炉</w:t>
      </w:r>
      <w:r>
        <w:rPr>
          <w:rFonts w:hint="eastAsia"/>
          <w:sz w:val="28"/>
          <w:szCs w:val="36"/>
          <w:lang w:eastAsia="zh-CN"/>
        </w:rPr>
        <w:t>社区</w:t>
      </w:r>
    </w:p>
    <w:p w14:paraId="243809D2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经营情况：正常使用资产、资源照片：</w:t>
      </w:r>
      <w:bookmarkStart w:id="0" w:name="_GoBack"/>
      <w:bookmarkEnd w:id="0"/>
    </w:p>
    <w:p w14:paraId="15D9DD47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一、基本概况</w:t>
      </w:r>
      <w:r>
        <w:rPr>
          <w:rFonts w:hint="eastAsia"/>
          <w:sz w:val="28"/>
          <w:szCs w:val="36"/>
          <w:lang w:eastAsia="zh-CN"/>
        </w:rPr>
        <w:t>：</w:t>
      </w:r>
      <w:r>
        <w:rPr>
          <w:rFonts w:hint="eastAsia"/>
          <w:sz w:val="28"/>
          <w:szCs w:val="36"/>
        </w:rPr>
        <w:t>康新河位于安徽省阜阳市颍州区</w:t>
      </w:r>
      <w:r>
        <w:rPr>
          <w:rFonts w:hint="eastAsia"/>
          <w:sz w:val="28"/>
          <w:szCs w:val="36"/>
          <w:lang w:eastAsia="zh-CN"/>
        </w:rPr>
        <w:t>袁集镇前炉社区，紧靠前炉小学路西侧，交通非常便利，</w:t>
      </w:r>
      <w:r>
        <w:rPr>
          <w:rFonts w:hint="eastAsia"/>
          <w:sz w:val="28"/>
          <w:szCs w:val="36"/>
        </w:rPr>
        <w:t>河道两岸</w:t>
      </w:r>
      <w:r>
        <w:rPr>
          <w:rFonts w:hint="eastAsia"/>
          <w:sz w:val="28"/>
          <w:szCs w:val="36"/>
          <w:lang w:eastAsia="zh-CN"/>
        </w:rPr>
        <w:t>风景优美，柳树成荫。</w:t>
      </w:r>
      <w:r>
        <w:rPr>
          <w:rFonts w:hint="eastAsia"/>
          <w:sz w:val="28"/>
          <w:szCs w:val="36"/>
        </w:rPr>
        <w:t>康新河承担着区域内农田排涝、灌溉补水的核心功能，是保障周边农业生产、防范旱涝灾害的关键基础设施，服务于沿线集体土地的农业发展</w:t>
      </w:r>
      <w:r>
        <w:rPr>
          <w:rFonts w:hint="eastAsia"/>
          <w:sz w:val="28"/>
          <w:szCs w:val="36"/>
          <w:lang w:eastAsia="zh-CN"/>
        </w:rPr>
        <w:t>。</w:t>
      </w:r>
      <w:r>
        <w:rPr>
          <w:rFonts w:hint="eastAsia"/>
          <w:sz w:val="28"/>
          <w:szCs w:val="36"/>
        </w:rPr>
        <w:t>康新河为集体所有的公共资源，是村集体重要的资产组成部分，其管护、利用与乡村集体利益直接相关，是乡村振兴中水利资产盘活、生态环境治理的重要抓手。从实拍画面可见，康新河河道通畅、岸坡整洁，植被长势良好，水体无污染，</w:t>
      </w:r>
      <w:r>
        <w:rPr>
          <w:rFonts w:hint="eastAsia"/>
          <w:sz w:val="28"/>
          <w:szCs w:val="36"/>
          <w:lang w:eastAsia="zh-CN"/>
        </w:rPr>
        <w:t>适合水面养殖。</w:t>
      </w:r>
      <w:r>
        <w:rPr>
          <w:rFonts w:hint="eastAsia"/>
          <w:sz w:val="28"/>
          <w:szCs w:val="36"/>
        </w:rPr>
        <w:t xml:space="preserve"> </w:t>
      </w:r>
    </w:p>
    <w:p w14:paraId="7FA66F48">
      <w:pPr>
        <w:rPr>
          <w:sz w:val="28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78105</wp:posOffset>
            </wp:positionV>
            <wp:extent cx="3970020" cy="5292090"/>
            <wp:effectExtent l="0" t="0" r="11430" b="381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69834" cy="529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F9118B">
      <w:pPr>
        <w:rPr>
          <w:sz w:val="28"/>
          <w:szCs w:val="36"/>
        </w:rPr>
      </w:pPr>
    </w:p>
    <w:p w14:paraId="644D357C">
      <w:pPr>
        <w:rPr>
          <w:sz w:val="28"/>
          <w:szCs w:val="36"/>
        </w:rPr>
      </w:pPr>
    </w:p>
    <w:p w14:paraId="6E200CF1">
      <w:pPr>
        <w:rPr>
          <w:sz w:val="28"/>
          <w:szCs w:val="36"/>
        </w:rPr>
      </w:pPr>
    </w:p>
    <w:p w14:paraId="57DC5AD9">
      <w:pPr>
        <w:rPr>
          <w:sz w:val="28"/>
          <w:szCs w:val="36"/>
        </w:rPr>
      </w:pPr>
    </w:p>
    <w:p w14:paraId="0B7F94D1">
      <w:pPr>
        <w:rPr>
          <w:sz w:val="28"/>
          <w:szCs w:val="36"/>
        </w:rPr>
      </w:pPr>
    </w:p>
    <w:p w14:paraId="283E4F76">
      <w:pPr>
        <w:rPr>
          <w:sz w:val="28"/>
          <w:szCs w:val="36"/>
        </w:rPr>
      </w:pPr>
    </w:p>
    <w:p w14:paraId="0305761A">
      <w:pPr>
        <w:rPr>
          <w:sz w:val="28"/>
          <w:szCs w:val="36"/>
        </w:rPr>
      </w:pPr>
    </w:p>
    <w:p w14:paraId="55B6A9DC">
      <w:pPr>
        <w:rPr>
          <w:sz w:val="28"/>
          <w:szCs w:val="36"/>
        </w:rPr>
      </w:pPr>
    </w:p>
    <w:p w14:paraId="07491DE4">
      <w:pPr>
        <w:rPr>
          <w:sz w:val="28"/>
          <w:szCs w:val="36"/>
        </w:rPr>
      </w:pPr>
    </w:p>
    <w:p w14:paraId="44B61A96">
      <w:pPr>
        <w:rPr>
          <w:sz w:val="28"/>
          <w:szCs w:val="36"/>
        </w:rPr>
      </w:pPr>
    </w:p>
    <w:p w14:paraId="011D4AD6">
      <w:pPr>
        <w:rPr>
          <w:sz w:val="28"/>
          <w:szCs w:val="36"/>
        </w:rPr>
      </w:pPr>
    </w:p>
    <w:p w14:paraId="56C76F0A">
      <w:pPr>
        <w:rPr>
          <w:sz w:val="28"/>
          <w:szCs w:val="36"/>
        </w:rPr>
      </w:pPr>
    </w:p>
    <w:p w14:paraId="431F9817">
      <w:pPr>
        <w:rPr>
          <w:sz w:val="28"/>
          <w:szCs w:val="36"/>
        </w:rPr>
      </w:pPr>
    </w:p>
    <w:p w14:paraId="4A94D2BE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04781E"/>
    <w:rsid w:val="4B90747A"/>
    <w:rsid w:val="7D1A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2026-04-13T07:55:38Z</dcterms:created>
  <dc:creator>Administrator</dc:creator>
  <cp:lastModifiedBy>既往</cp:lastModifiedBy>
  <dcterms:modified xsi:type="dcterms:W3CDTF">2026-04-13T08:06:34Z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eyJoZGlkIjoiZjliYjc0M2MzMGNmNTljNmMyOGJmOWJlOWQzOGE1NDEiLCJ1c2VySWQiOiI1MjE1MDQ1MjYifQ==</vt:lpwstr>
  </property>
  <property fmtid="{D5CDD505-2E9C-101B-9397-08002B2CF9AE}" pid="4" name="ICV">
    <vt:lpwstr>5DFBF9FD018E4091974FD281503BBF32_12</vt:lpwstr>
  </property>
</Properties>
</file>