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31FD0C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23C745FF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341202006Z20251001</w:t>
      </w:r>
    </w:p>
    <w:p w14:paraId="100A762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卞寨社区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卞寨社区安子庄已征20亩闲置土地竞价租赁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83F2361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686DBFF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阜阳市颍州区京九路街道办事处卞寨社区安子庄已征20亩已征闲置土地向外租赁，租赁期限一年，交易底价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0.3万元/亩/年，保证金6000元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23F7B78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194FB95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2025年10月9日-2025年10月15日至京九路街道办事处经济发展办报名。</w:t>
      </w:r>
    </w:p>
    <w:p w14:paraId="7A8706E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32AC7C7F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40362E7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571A05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6B7D1B4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3F0CF4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72FE5EB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5BB365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04C695A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32288E3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6FF91F9B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3DF6AC6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20313EA6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2025年10月9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7463D50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6F90B95"/>
    <w:rsid w:val="1FE00915"/>
    <w:rsid w:val="65DB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623</Words>
  <Characters>696</Characters>
  <Lines>0</Lines>
  <Paragraphs>0</Paragraphs>
  <TotalTime>7</TotalTime>
  <ScaleCrop>false</ScaleCrop>
  <LinksUpToDate>false</LinksUpToDate>
  <CharactersWithSpaces>738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2025-10-09T01:25:19Z</cp:lastPrinted>
  <dcterms:modified xsi:type="dcterms:W3CDTF">2025-10-09T01:25:42Z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07547C12FCC948F484716469653504E0_13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